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0C88B" w14:textId="77777777" w:rsidR="009618A0" w:rsidRPr="004A63EE" w:rsidRDefault="009618A0" w:rsidP="00841B6C">
      <w:pPr>
        <w:jc w:val="center"/>
        <w:rPr>
          <w:rFonts w:asciiTheme="majorHAnsi" w:hAnsiTheme="majorHAnsi" w:cstheme="majorHAnsi"/>
          <w:b/>
        </w:rPr>
      </w:pPr>
    </w:p>
    <w:p w14:paraId="1DBA616D" w14:textId="77777777" w:rsidR="009B7C73" w:rsidRPr="004A63EE" w:rsidRDefault="005C7247" w:rsidP="00841B6C">
      <w:pPr>
        <w:tabs>
          <w:tab w:val="left" w:pos="4265"/>
          <w:tab w:val="center" w:pos="7285"/>
        </w:tabs>
        <w:rPr>
          <w:rFonts w:asciiTheme="majorHAnsi" w:hAnsiTheme="majorHAnsi" w:cstheme="majorHAnsi"/>
          <w:b/>
        </w:rPr>
      </w:pPr>
      <w:r w:rsidRPr="004A63EE">
        <w:rPr>
          <w:rFonts w:asciiTheme="majorHAnsi" w:hAnsiTheme="majorHAnsi" w:cstheme="majorHAnsi"/>
          <w:b/>
        </w:rPr>
        <w:tab/>
      </w:r>
      <w:r w:rsidRPr="004A63EE">
        <w:rPr>
          <w:rFonts w:asciiTheme="majorHAnsi" w:hAnsiTheme="majorHAnsi" w:cstheme="majorHAnsi"/>
          <w:b/>
        </w:rPr>
        <w:tab/>
      </w:r>
    </w:p>
    <w:p w14:paraId="12385FDA" w14:textId="77777777" w:rsidR="00FC4682" w:rsidRPr="004A63EE" w:rsidRDefault="0067137A" w:rsidP="00841B6C">
      <w:pPr>
        <w:tabs>
          <w:tab w:val="left" w:pos="4265"/>
          <w:tab w:val="center" w:pos="7285"/>
        </w:tabs>
        <w:jc w:val="center"/>
        <w:rPr>
          <w:rFonts w:asciiTheme="majorHAnsi" w:hAnsiTheme="majorHAnsi" w:cstheme="majorHAnsi"/>
          <w:b/>
        </w:rPr>
      </w:pPr>
      <w:r w:rsidRPr="004A63EE">
        <w:rPr>
          <w:rFonts w:asciiTheme="majorHAnsi" w:hAnsiTheme="majorHAnsi" w:cstheme="majorHAnsi"/>
          <w:b/>
        </w:rPr>
        <w:t xml:space="preserve">SPECYFIKACJA </w:t>
      </w:r>
      <w:r w:rsidR="008A666E" w:rsidRPr="004A63EE">
        <w:rPr>
          <w:rFonts w:asciiTheme="majorHAnsi" w:hAnsiTheme="majorHAnsi" w:cstheme="majorHAnsi"/>
          <w:b/>
          <w:lang w:eastAsia="pl-PL"/>
        </w:rPr>
        <w:t>TECHNICZNO-FUNKCJONALNA</w:t>
      </w:r>
    </w:p>
    <w:p w14:paraId="17C1EC17" w14:textId="77777777" w:rsidR="008A666E" w:rsidRPr="004A63EE" w:rsidRDefault="008A666E" w:rsidP="00841B6C">
      <w:pPr>
        <w:pStyle w:val="Bezodstpw"/>
        <w:jc w:val="both"/>
        <w:rPr>
          <w:rFonts w:asciiTheme="majorHAnsi" w:hAnsiTheme="majorHAnsi" w:cstheme="majorHAnsi"/>
          <w:bCs/>
          <w:szCs w:val="24"/>
        </w:rPr>
      </w:pPr>
    </w:p>
    <w:p w14:paraId="4AE1A140" w14:textId="4C2DE6ED" w:rsidR="00573380" w:rsidRPr="004A63EE" w:rsidRDefault="00573380" w:rsidP="00573380">
      <w:pPr>
        <w:pStyle w:val="Bezodstpw"/>
        <w:jc w:val="center"/>
        <w:rPr>
          <w:rFonts w:asciiTheme="majorHAnsi" w:hAnsiTheme="majorHAnsi" w:cstheme="majorHAnsi"/>
          <w:b/>
          <w:bCs/>
        </w:rPr>
      </w:pPr>
      <w:r w:rsidRPr="004A63EE">
        <w:rPr>
          <w:rFonts w:asciiTheme="majorHAnsi" w:hAnsiTheme="majorHAnsi" w:cstheme="majorHAnsi"/>
          <w:b/>
          <w:bCs/>
        </w:rPr>
        <w:t>Pompa objętościowa</w:t>
      </w:r>
    </w:p>
    <w:p w14:paraId="4CF3E3E6" w14:textId="77777777" w:rsidR="00573380" w:rsidRPr="004A63EE" w:rsidRDefault="00573380" w:rsidP="00573380">
      <w:pPr>
        <w:pStyle w:val="Bezodstpw"/>
        <w:jc w:val="both"/>
        <w:rPr>
          <w:rFonts w:asciiTheme="majorHAnsi" w:hAnsiTheme="majorHAnsi" w:cstheme="majorHAnsi"/>
          <w:b/>
          <w:bCs/>
        </w:rPr>
      </w:pPr>
    </w:p>
    <w:p w14:paraId="437ACB9E" w14:textId="77777777" w:rsidR="00573380" w:rsidRPr="004A63EE" w:rsidRDefault="00573380" w:rsidP="00573380">
      <w:pPr>
        <w:pStyle w:val="Bezodstpw"/>
        <w:jc w:val="both"/>
        <w:rPr>
          <w:rFonts w:asciiTheme="majorHAnsi" w:hAnsiTheme="majorHAnsi" w:cstheme="majorHAnsi"/>
          <w:b/>
          <w:bCs/>
        </w:rPr>
      </w:pPr>
      <w:r w:rsidRPr="004A63EE">
        <w:rPr>
          <w:rFonts w:asciiTheme="majorHAnsi" w:hAnsiTheme="majorHAnsi" w:cstheme="majorHAnsi"/>
          <w:b/>
          <w:bCs/>
        </w:rPr>
        <w:t>Oferowane urządzenie (typ, model, producent) ………………………………….</w:t>
      </w:r>
    </w:p>
    <w:p w14:paraId="3E4531FC" w14:textId="77777777" w:rsidR="00573380" w:rsidRPr="004A63EE" w:rsidRDefault="00573380" w:rsidP="00841B6C">
      <w:pPr>
        <w:pStyle w:val="Bezodstpw"/>
        <w:jc w:val="both"/>
        <w:rPr>
          <w:rFonts w:asciiTheme="majorHAnsi" w:hAnsiTheme="majorHAnsi" w:cstheme="majorHAnsi"/>
          <w:bCs/>
          <w:szCs w:val="24"/>
        </w:rPr>
      </w:pPr>
    </w:p>
    <w:p w14:paraId="27BE2784" w14:textId="77777777" w:rsidR="008D1481" w:rsidRPr="004A63EE" w:rsidRDefault="008D1481" w:rsidP="00841B6C">
      <w:pPr>
        <w:pStyle w:val="Bezodstpw"/>
        <w:jc w:val="both"/>
        <w:rPr>
          <w:rFonts w:asciiTheme="majorHAnsi" w:hAnsiTheme="majorHAnsi" w:cstheme="majorHAnsi"/>
          <w:szCs w:val="24"/>
        </w:rPr>
      </w:pPr>
    </w:p>
    <w:tbl>
      <w:tblPr>
        <w:tblStyle w:val="Tabela-Siatka"/>
        <w:tblW w:w="14029" w:type="dxa"/>
        <w:jc w:val="center"/>
        <w:tblLook w:val="04A0" w:firstRow="1" w:lastRow="0" w:firstColumn="1" w:lastColumn="0" w:noHBand="0" w:noVBand="1"/>
      </w:tblPr>
      <w:tblGrid>
        <w:gridCol w:w="664"/>
        <w:gridCol w:w="4860"/>
        <w:gridCol w:w="4252"/>
        <w:gridCol w:w="4253"/>
      </w:tblGrid>
      <w:tr w:rsidR="004A63EE" w:rsidRPr="004A63EE" w14:paraId="120E3C2F" w14:textId="77777777">
        <w:trPr>
          <w:jc w:val="center"/>
        </w:trPr>
        <w:tc>
          <w:tcPr>
            <w:tcW w:w="664" w:type="dxa"/>
            <w:vAlign w:val="center"/>
          </w:tcPr>
          <w:p w14:paraId="44FEA8D4" w14:textId="77777777" w:rsidR="008D1481" w:rsidRPr="004A63EE" w:rsidRDefault="008D1481">
            <w:pPr>
              <w:jc w:val="center"/>
              <w:rPr>
                <w:rFonts w:asciiTheme="majorHAnsi" w:hAnsiTheme="majorHAnsi" w:cstheme="majorHAnsi"/>
                <w:b/>
                <w:bCs/>
                <w:sz w:val="24"/>
              </w:rPr>
            </w:pPr>
            <w:r w:rsidRPr="004A63EE">
              <w:rPr>
                <w:rFonts w:asciiTheme="majorHAnsi" w:hAnsiTheme="majorHAnsi" w:cstheme="majorHAnsi"/>
                <w:b/>
                <w:bCs/>
                <w:sz w:val="24"/>
              </w:rPr>
              <w:t>L. P.</w:t>
            </w:r>
          </w:p>
        </w:tc>
        <w:tc>
          <w:tcPr>
            <w:tcW w:w="4860" w:type="dxa"/>
            <w:vAlign w:val="center"/>
          </w:tcPr>
          <w:p w14:paraId="789F977E" w14:textId="77777777" w:rsidR="008D1481" w:rsidRPr="004A63EE" w:rsidRDefault="008D1481">
            <w:pPr>
              <w:jc w:val="center"/>
              <w:rPr>
                <w:rFonts w:asciiTheme="majorHAnsi" w:hAnsiTheme="majorHAnsi" w:cstheme="majorHAnsi"/>
                <w:b/>
                <w:bCs/>
                <w:sz w:val="24"/>
              </w:rPr>
            </w:pPr>
            <w:r w:rsidRPr="004A63EE">
              <w:rPr>
                <w:rFonts w:asciiTheme="majorHAnsi" w:hAnsiTheme="majorHAnsi" w:cstheme="majorHAnsi"/>
                <w:b/>
                <w:bCs/>
                <w:sz w:val="24"/>
              </w:rPr>
              <w:t>OPIS</w:t>
            </w:r>
          </w:p>
        </w:tc>
        <w:tc>
          <w:tcPr>
            <w:tcW w:w="4252" w:type="dxa"/>
            <w:vAlign w:val="center"/>
          </w:tcPr>
          <w:p w14:paraId="1D83ABBF" w14:textId="77777777" w:rsidR="008D1481" w:rsidRPr="004A63EE" w:rsidRDefault="008D1481">
            <w:pPr>
              <w:jc w:val="center"/>
              <w:rPr>
                <w:rFonts w:asciiTheme="majorHAnsi" w:hAnsiTheme="majorHAnsi" w:cstheme="majorHAnsi"/>
                <w:b/>
                <w:bCs/>
                <w:sz w:val="24"/>
              </w:rPr>
            </w:pPr>
            <w:r w:rsidRPr="004A63EE">
              <w:rPr>
                <w:rFonts w:asciiTheme="majorHAnsi" w:hAnsiTheme="majorHAnsi" w:cstheme="majorHAnsi"/>
                <w:b/>
                <w:bCs/>
                <w:sz w:val="24"/>
              </w:rPr>
              <w:t>PARAMETR WYMAGANY</w:t>
            </w:r>
          </w:p>
        </w:tc>
        <w:tc>
          <w:tcPr>
            <w:tcW w:w="4253" w:type="dxa"/>
            <w:vAlign w:val="center"/>
          </w:tcPr>
          <w:p w14:paraId="5F60724F" w14:textId="77777777" w:rsidR="008D1481" w:rsidRPr="004A63EE" w:rsidRDefault="008D1481">
            <w:pPr>
              <w:jc w:val="center"/>
              <w:rPr>
                <w:rFonts w:asciiTheme="majorHAnsi" w:hAnsiTheme="majorHAnsi" w:cstheme="majorHAnsi"/>
                <w:b/>
                <w:bCs/>
                <w:sz w:val="24"/>
              </w:rPr>
            </w:pPr>
            <w:r w:rsidRPr="004A63EE">
              <w:rPr>
                <w:rFonts w:asciiTheme="majorHAnsi" w:hAnsiTheme="majorHAnsi" w:cstheme="majorHAnsi"/>
                <w:b/>
                <w:bCs/>
                <w:sz w:val="24"/>
              </w:rPr>
              <w:t>PARAMETR OFEROWANY</w:t>
            </w:r>
          </w:p>
        </w:tc>
      </w:tr>
      <w:tr w:rsidR="004A63EE" w:rsidRPr="004A63EE" w14:paraId="54F4FE22" w14:textId="77777777">
        <w:trPr>
          <w:jc w:val="center"/>
        </w:trPr>
        <w:tc>
          <w:tcPr>
            <w:tcW w:w="14029" w:type="dxa"/>
            <w:gridSpan w:val="4"/>
            <w:vAlign w:val="center"/>
          </w:tcPr>
          <w:p w14:paraId="472797BD" w14:textId="7918D97F" w:rsidR="008D1481" w:rsidRPr="004A63EE" w:rsidRDefault="00417542">
            <w:pPr>
              <w:rPr>
                <w:rFonts w:asciiTheme="majorHAnsi" w:hAnsiTheme="majorHAnsi" w:cstheme="majorHAnsi"/>
                <w:b/>
                <w:bCs/>
                <w:sz w:val="24"/>
              </w:rPr>
            </w:pPr>
            <w:r w:rsidRPr="004A63EE">
              <w:rPr>
                <w:rFonts w:asciiTheme="majorHAnsi" w:hAnsiTheme="majorHAnsi" w:cstheme="majorHAnsi"/>
                <w:b/>
                <w:bCs/>
                <w:sz w:val="24"/>
              </w:rPr>
              <w:t xml:space="preserve">Pompa objętościowa </w:t>
            </w:r>
          </w:p>
        </w:tc>
      </w:tr>
      <w:tr w:rsidR="004A63EE" w:rsidRPr="004A63EE" w14:paraId="2BFBEE62" w14:textId="77777777">
        <w:trPr>
          <w:jc w:val="center"/>
        </w:trPr>
        <w:tc>
          <w:tcPr>
            <w:tcW w:w="664" w:type="dxa"/>
            <w:vAlign w:val="center"/>
          </w:tcPr>
          <w:p w14:paraId="5A3CB02E" w14:textId="1800E39F" w:rsidR="008D1481" w:rsidRPr="004A63EE" w:rsidRDefault="008D1481" w:rsidP="00573380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60" w:type="dxa"/>
            <w:vAlign w:val="center"/>
          </w:tcPr>
          <w:p w14:paraId="653FAF4C" w14:textId="125D522F" w:rsidR="008D1481" w:rsidRPr="004A63EE" w:rsidRDefault="00417542" w:rsidP="00AF6A93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4A63EE">
              <w:rPr>
                <w:rFonts w:asciiTheme="majorHAnsi" w:hAnsiTheme="majorHAnsi" w:cstheme="majorHAnsi"/>
                <w:sz w:val="24"/>
              </w:rPr>
              <w:t xml:space="preserve">Możliwa podaż płynów infuzyjnych, żywienia pozajelitowego, żywienia dojelitowego, podaż krwi i preparatów krwiozastępczych, preparatów światłoczułych. Dreny bez zawartości DEHP </w:t>
            </w:r>
            <w:r w:rsidRPr="004A63EE">
              <w:rPr>
                <w:rFonts w:asciiTheme="majorHAnsi" w:hAnsiTheme="majorHAnsi" w:cstheme="majorHAnsi"/>
                <w:sz w:val="24"/>
              </w:rPr>
              <w:br/>
              <w:t>i lateksu.</w:t>
            </w:r>
          </w:p>
        </w:tc>
        <w:tc>
          <w:tcPr>
            <w:tcW w:w="4252" w:type="dxa"/>
            <w:vAlign w:val="center"/>
          </w:tcPr>
          <w:p w14:paraId="5734E79A" w14:textId="74AACF8B" w:rsidR="008D1481" w:rsidRPr="004A63EE" w:rsidRDefault="008F6985">
            <w:pPr>
              <w:jc w:val="center"/>
              <w:rPr>
                <w:rFonts w:asciiTheme="majorHAnsi" w:hAnsiTheme="majorHAnsi" w:cstheme="majorHAnsi"/>
                <w:sz w:val="24"/>
              </w:rPr>
            </w:pPr>
            <w:r w:rsidRPr="004A63EE">
              <w:rPr>
                <w:rFonts w:asciiTheme="majorHAnsi" w:hAnsiTheme="majorHAnsi" w:cstheme="majorHAnsi"/>
                <w:sz w:val="24"/>
              </w:rPr>
              <w:t>TAK</w:t>
            </w:r>
          </w:p>
        </w:tc>
        <w:tc>
          <w:tcPr>
            <w:tcW w:w="4253" w:type="dxa"/>
            <w:vAlign w:val="center"/>
          </w:tcPr>
          <w:p w14:paraId="23A5D57D" w14:textId="77777777" w:rsidR="008D1481" w:rsidRPr="004A63EE" w:rsidRDefault="008D1481">
            <w:pPr>
              <w:jc w:val="center"/>
              <w:rPr>
                <w:rFonts w:asciiTheme="majorHAnsi" w:hAnsiTheme="majorHAnsi" w:cstheme="majorHAnsi"/>
                <w:sz w:val="24"/>
              </w:rPr>
            </w:pPr>
          </w:p>
        </w:tc>
      </w:tr>
      <w:tr w:rsidR="004A63EE" w:rsidRPr="004A63EE" w14:paraId="0C047D15" w14:textId="77777777">
        <w:trPr>
          <w:jc w:val="center"/>
        </w:trPr>
        <w:tc>
          <w:tcPr>
            <w:tcW w:w="664" w:type="dxa"/>
            <w:vAlign w:val="center"/>
          </w:tcPr>
          <w:p w14:paraId="7AF4F47F" w14:textId="75291636" w:rsidR="00417542" w:rsidRPr="004A63EE" w:rsidRDefault="00417542" w:rsidP="00573380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60" w:type="dxa"/>
          </w:tcPr>
          <w:p w14:paraId="5993ACAB" w14:textId="77777777" w:rsidR="00417542" w:rsidRPr="004A63EE" w:rsidRDefault="00417542" w:rsidP="00983253">
            <w:pPr>
              <w:spacing w:line="276" w:lineRule="auto"/>
              <w:rPr>
                <w:rFonts w:asciiTheme="majorHAnsi" w:hAnsiTheme="majorHAnsi" w:cstheme="majorHAnsi"/>
                <w:sz w:val="24"/>
              </w:rPr>
            </w:pPr>
            <w:r w:rsidRPr="004A63EE">
              <w:rPr>
                <w:rFonts w:asciiTheme="majorHAnsi" w:hAnsiTheme="majorHAnsi" w:cstheme="majorHAnsi"/>
                <w:sz w:val="24"/>
              </w:rPr>
              <w:t>Regulowana czułość detektora powietrza min. 6 stopni. Wielkość pęcherzyków 15/ 50/ 100/ 250/ 500/ 800 uL</w:t>
            </w:r>
            <w:r w:rsidR="00983253" w:rsidRPr="004A63EE">
              <w:rPr>
                <w:rFonts w:asciiTheme="majorHAnsi" w:hAnsiTheme="majorHAnsi" w:cstheme="majorHAnsi"/>
                <w:strike/>
                <w:sz w:val="24"/>
              </w:rPr>
              <w:t xml:space="preserve"> </w:t>
            </w:r>
            <w:r w:rsidR="00983253" w:rsidRPr="004A63EE">
              <w:rPr>
                <w:rFonts w:asciiTheme="majorHAnsi" w:hAnsiTheme="majorHAnsi" w:cstheme="majorHAnsi"/>
                <w:sz w:val="24"/>
              </w:rPr>
              <w:t xml:space="preserve"> </w:t>
            </w:r>
          </w:p>
          <w:p w14:paraId="5E93BE94" w14:textId="77777777" w:rsidR="00DB4475" w:rsidRPr="004A63EE" w:rsidRDefault="00DB4475" w:rsidP="00983253">
            <w:pPr>
              <w:spacing w:line="276" w:lineRule="auto"/>
              <w:rPr>
                <w:rFonts w:asciiTheme="majorHAnsi" w:hAnsiTheme="majorHAnsi" w:cstheme="majorHAnsi"/>
                <w:sz w:val="24"/>
              </w:rPr>
            </w:pPr>
          </w:p>
          <w:p w14:paraId="178CA36D" w14:textId="77777777" w:rsidR="00DB4475" w:rsidRPr="004A63EE" w:rsidRDefault="00DB4475" w:rsidP="00983253">
            <w:pPr>
              <w:spacing w:line="276" w:lineRule="auto"/>
              <w:rPr>
                <w:rFonts w:asciiTheme="majorHAnsi" w:hAnsiTheme="majorHAnsi" w:cstheme="majorHAnsi"/>
                <w:sz w:val="24"/>
              </w:rPr>
            </w:pPr>
            <w:r w:rsidRPr="004A63EE">
              <w:rPr>
                <w:rFonts w:asciiTheme="majorHAnsi" w:hAnsiTheme="majorHAnsi" w:cstheme="majorHAnsi"/>
                <w:sz w:val="24"/>
              </w:rPr>
              <w:t xml:space="preserve">Równoważnie: </w:t>
            </w:r>
          </w:p>
          <w:p w14:paraId="2254B69B" w14:textId="40C2D820" w:rsidR="00DB4475" w:rsidRPr="004A63EE" w:rsidRDefault="00B42E0C" w:rsidP="00983253">
            <w:pPr>
              <w:spacing w:line="276" w:lineRule="auto"/>
              <w:rPr>
                <w:rFonts w:asciiTheme="majorHAnsi" w:hAnsiTheme="majorHAnsi" w:cstheme="majorHAnsi"/>
                <w:sz w:val="24"/>
              </w:rPr>
            </w:pPr>
            <w:r w:rsidRPr="004A63EE">
              <w:rPr>
                <w:rFonts w:asciiTheme="majorHAnsi" w:hAnsiTheme="majorHAnsi" w:cstheme="majorHAnsi"/>
                <w:sz w:val="24"/>
              </w:rPr>
              <w:t>pompa objętościowa z możliwością ustawianie przez użytkownika wielkości wykrywanych pęcherzyków powietrza – w zakresie od 0 do 250 µl (minimalny przyrost 10 µl)</w:t>
            </w:r>
          </w:p>
        </w:tc>
        <w:tc>
          <w:tcPr>
            <w:tcW w:w="4252" w:type="dxa"/>
            <w:vAlign w:val="center"/>
          </w:tcPr>
          <w:p w14:paraId="26EE2590" w14:textId="4BC80810" w:rsidR="00417542" w:rsidRPr="004A63EE" w:rsidRDefault="008F6985" w:rsidP="00417542">
            <w:pPr>
              <w:jc w:val="center"/>
              <w:rPr>
                <w:rFonts w:asciiTheme="majorHAnsi" w:hAnsiTheme="majorHAnsi" w:cstheme="majorHAnsi"/>
                <w:sz w:val="24"/>
              </w:rPr>
            </w:pPr>
            <w:r w:rsidRPr="004A63EE">
              <w:rPr>
                <w:rFonts w:asciiTheme="majorHAnsi" w:hAnsiTheme="majorHAnsi" w:cstheme="majorHAnsi"/>
                <w:sz w:val="24"/>
              </w:rPr>
              <w:t>TAK</w:t>
            </w:r>
          </w:p>
        </w:tc>
        <w:tc>
          <w:tcPr>
            <w:tcW w:w="4253" w:type="dxa"/>
            <w:vAlign w:val="center"/>
          </w:tcPr>
          <w:p w14:paraId="1923C335" w14:textId="77777777" w:rsidR="00417542" w:rsidRPr="004A63EE" w:rsidRDefault="00417542" w:rsidP="00417542">
            <w:pPr>
              <w:jc w:val="center"/>
              <w:rPr>
                <w:rFonts w:asciiTheme="majorHAnsi" w:hAnsiTheme="majorHAnsi" w:cstheme="majorHAnsi"/>
                <w:sz w:val="24"/>
              </w:rPr>
            </w:pPr>
          </w:p>
        </w:tc>
      </w:tr>
      <w:tr w:rsidR="004A63EE" w:rsidRPr="004A63EE" w14:paraId="73AA8970" w14:textId="77777777">
        <w:trPr>
          <w:jc w:val="center"/>
        </w:trPr>
        <w:tc>
          <w:tcPr>
            <w:tcW w:w="664" w:type="dxa"/>
            <w:vAlign w:val="center"/>
          </w:tcPr>
          <w:p w14:paraId="233F4448" w14:textId="44461273" w:rsidR="00417542" w:rsidRPr="004A63EE" w:rsidRDefault="00417542" w:rsidP="00573380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60" w:type="dxa"/>
            <w:vAlign w:val="center"/>
          </w:tcPr>
          <w:p w14:paraId="4D2B33BB" w14:textId="50F90677" w:rsidR="00417542" w:rsidRPr="004A63EE" w:rsidRDefault="00417542" w:rsidP="00417542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4A63EE">
              <w:rPr>
                <w:rFonts w:asciiTheme="majorHAnsi" w:hAnsiTheme="majorHAnsi" w:cstheme="majorHAnsi"/>
                <w:sz w:val="24"/>
              </w:rPr>
              <w:t>Wielkość skumulowana w czasie 15 min programowana od 0,1 do 1,0 ml</w:t>
            </w:r>
            <w:r w:rsidR="00983253" w:rsidRPr="004A63EE">
              <w:rPr>
                <w:rFonts w:asciiTheme="majorHAnsi" w:hAnsiTheme="majorHAnsi" w:cstheme="majorHAnsi"/>
                <w:sz w:val="24"/>
              </w:rPr>
              <w:t xml:space="preserve"> </w:t>
            </w:r>
            <w:r w:rsidR="00610A57" w:rsidRPr="004A63EE">
              <w:rPr>
                <w:rFonts w:asciiTheme="majorHAnsi" w:hAnsiTheme="majorHAnsi" w:cstheme="majorHAnsi"/>
                <w:sz w:val="24"/>
              </w:rPr>
              <w:t xml:space="preserve"> </w:t>
            </w:r>
          </w:p>
        </w:tc>
        <w:tc>
          <w:tcPr>
            <w:tcW w:w="4252" w:type="dxa"/>
            <w:vAlign w:val="center"/>
          </w:tcPr>
          <w:p w14:paraId="0D6C61E8" w14:textId="5B24B8DD" w:rsidR="00417542" w:rsidRPr="004A63EE" w:rsidRDefault="008F6985" w:rsidP="00417542">
            <w:pPr>
              <w:jc w:val="center"/>
              <w:rPr>
                <w:rFonts w:asciiTheme="majorHAnsi" w:hAnsiTheme="majorHAnsi" w:cstheme="majorHAnsi"/>
                <w:sz w:val="24"/>
              </w:rPr>
            </w:pPr>
            <w:r w:rsidRPr="004A63EE">
              <w:rPr>
                <w:rFonts w:asciiTheme="majorHAnsi" w:hAnsiTheme="majorHAnsi" w:cstheme="majorHAnsi"/>
                <w:sz w:val="24"/>
              </w:rPr>
              <w:t>TAK</w:t>
            </w:r>
          </w:p>
        </w:tc>
        <w:tc>
          <w:tcPr>
            <w:tcW w:w="4253" w:type="dxa"/>
            <w:vAlign w:val="center"/>
          </w:tcPr>
          <w:p w14:paraId="11F4B403" w14:textId="77777777" w:rsidR="00417542" w:rsidRPr="004A63EE" w:rsidRDefault="00417542" w:rsidP="00417542">
            <w:pPr>
              <w:jc w:val="center"/>
              <w:rPr>
                <w:rFonts w:asciiTheme="majorHAnsi" w:hAnsiTheme="majorHAnsi" w:cstheme="majorHAnsi"/>
                <w:sz w:val="24"/>
              </w:rPr>
            </w:pPr>
          </w:p>
        </w:tc>
      </w:tr>
      <w:tr w:rsidR="004A63EE" w:rsidRPr="004A63EE" w14:paraId="632387BD" w14:textId="77777777">
        <w:trPr>
          <w:jc w:val="center"/>
        </w:trPr>
        <w:tc>
          <w:tcPr>
            <w:tcW w:w="664" w:type="dxa"/>
            <w:vAlign w:val="center"/>
          </w:tcPr>
          <w:p w14:paraId="70679049" w14:textId="4F3E90EE" w:rsidR="00417542" w:rsidRPr="004A63EE" w:rsidRDefault="00417542" w:rsidP="00573380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60" w:type="dxa"/>
            <w:vAlign w:val="center"/>
          </w:tcPr>
          <w:p w14:paraId="50173170" w14:textId="7C79DBB8" w:rsidR="00417542" w:rsidRPr="004A63EE" w:rsidRDefault="00417542" w:rsidP="00417542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4A63EE">
              <w:rPr>
                <w:rFonts w:asciiTheme="majorHAnsi" w:hAnsiTheme="majorHAnsi" w:cstheme="majorHAnsi"/>
                <w:sz w:val="24"/>
              </w:rPr>
              <w:t>Dokładność szybkości dozowania  +/- 4,5% (dla dedykowanych drenów)</w:t>
            </w:r>
            <w:r w:rsidR="00983253" w:rsidRPr="004A63EE">
              <w:rPr>
                <w:rFonts w:asciiTheme="majorHAnsi" w:hAnsiTheme="majorHAnsi" w:cstheme="majorHAnsi"/>
                <w:sz w:val="24"/>
              </w:rPr>
              <w:t xml:space="preserve"> </w:t>
            </w:r>
          </w:p>
        </w:tc>
        <w:tc>
          <w:tcPr>
            <w:tcW w:w="4252" w:type="dxa"/>
            <w:vAlign w:val="center"/>
          </w:tcPr>
          <w:p w14:paraId="24D06557" w14:textId="666FC355" w:rsidR="00417542" w:rsidRPr="004A63EE" w:rsidRDefault="008F6985" w:rsidP="00417542">
            <w:pPr>
              <w:jc w:val="center"/>
              <w:rPr>
                <w:rFonts w:asciiTheme="majorHAnsi" w:hAnsiTheme="majorHAnsi" w:cstheme="majorHAnsi"/>
                <w:sz w:val="24"/>
              </w:rPr>
            </w:pPr>
            <w:r w:rsidRPr="004A63EE">
              <w:rPr>
                <w:rFonts w:asciiTheme="majorHAnsi" w:hAnsiTheme="majorHAnsi" w:cstheme="majorHAnsi"/>
                <w:sz w:val="24"/>
              </w:rPr>
              <w:t>TAK</w:t>
            </w:r>
          </w:p>
        </w:tc>
        <w:tc>
          <w:tcPr>
            <w:tcW w:w="4253" w:type="dxa"/>
            <w:vAlign w:val="center"/>
          </w:tcPr>
          <w:p w14:paraId="69CC714D" w14:textId="77777777" w:rsidR="00417542" w:rsidRPr="004A63EE" w:rsidRDefault="00417542" w:rsidP="00417542">
            <w:pPr>
              <w:jc w:val="center"/>
              <w:rPr>
                <w:rFonts w:asciiTheme="majorHAnsi" w:hAnsiTheme="majorHAnsi" w:cstheme="majorHAnsi"/>
                <w:sz w:val="24"/>
              </w:rPr>
            </w:pPr>
          </w:p>
        </w:tc>
      </w:tr>
      <w:tr w:rsidR="004A63EE" w:rsidRPr="004A63EE" w14:paraId="33A01EF0" w14:textId="77777777">
        <w:trPr>
          <w:jc w:val="center"/>
        </w:trPr>
        <w:tc>
          <w:tcPr>
            <w:tcW w:w="664" w:type="dxa"/>
            <w:vAlign w:val="center"/>
          </w:tcPr>
          <w:p w14:paraId="651B45A9" w14:textId="2E4ADB6B" w:rsidR="00417542" w:rsidRPr="004A63EE" w:rsidRDefault="00417542" w:rsidP="00573380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60" w:type="dxa"/>
            <w:vAlign w:val="center"/>
          </w:tcPr>
          <w:p w14:paraId="624C42BA" w14:textId="69EF0F89" w:rsidR="00417542" w:rsidRPr="004A63EE" w:rsidRDefault="00417542" w:rsidP="00417542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4A63EE">
              <w:rPr>
                <w:rFonts w:asciiTheme="majorHAnsi" w:hAnsiTheme="majorHAnsi" w:cstheme="majorHAnsi"/>
                <w:sz w:val="24"/>
              </w:rPr>
              <w:t>Szybkość dozowania: minimum w zakresie 0,1-2200 ml/h</w:t>
            </w:r>
            <w:r w:rsidR="00610A57" w:rsidRPr="004A63EE">
              <w:rPr>
                <w:rFonts w:asciiTheme="majorHAnsi" w:hAnsiTheme="majorHAnsi" w:cstheme="majorHAnsi"/>
                <w:sz w:val="24"/>
              </w:rPr>
              <w:t xml:space="preserve"> </w:t>
            </w:r>
          </w:p>
        </w:tc>
        <w:tc>
          <w:tcPr>
            <w:tcW w:w="4252" w:type="dxa"/>
            <w:vAlign w:val="center"/>
          </w:tcPr>
          <w:p w14:paraId="22A8CDB6" w14:textId="567787F2" w:rsidR="00417542" w:rsidRPr="004A63EE" w:rsidRDefault="008F6985" w:rsidP="00417542">
            <w:pPr>
              <w:jc w:val="center"/>
              <w:rPr>
                <w:rFonts w:asciiTheme="majorHAnsi" w:hAnsiTheme="majorHAnsi" w:cstheme="majorHAnsi"/>
                <w:sz w:val="24"/>
              </w:rPr>
            </w:pPr>
            <w:r w:rsidRPr="004A63EE">
              <w:rPr>
                <w:rFonts w:asciiTheme="majorHAnsi" w:hAnsiTheme="majorHAnsi" w:cstheme="majorHAnsi"/>
                <w:sz w:val="24"/>
              </w:rPr>
              <w:t>TAK</w:t>
            </w:r>
          </w:p>
        </w:tc>
        <w:tc>
          <w:tcPr>
            <w:tcW w:w="4253" w:type="dxa"/>
            <w:vAlign w:val="center"/>
          </w:tcPr>
          <w:p w14:paraId="40E8876C" w14:textId="77777777" w:rsidR="00417542" w:rsidRPr="004A63EE" w:rsidRDefault="00417542" w:rsidP="00417542">
            <w:pPr>
              <w:jc w:val="center"/>
              <w:rPr>
                <w:rFonts w:asciiTheme="majorHAnsi" w:hAnsiTheme="majorHAnsi" w:cstheme="majorHAnsi"/>
                <w:sz w:val="24"/>
              </w:rPr>
            </w:pPr>
          </w:p>
        </w:tc>
      </w:tr>
      <w:tr w:rsidR="004A63EE" w:rsidRPr="004A63EE" w14:paraId="31226408" w14:textId="77777777">
        <w:trPr>
          <w:jc w:val="center"/>
        </w:trPr>
        <w:tc>
          <w:tcPr>
            <w:tcW w:w="664" w:type="dxa"/>
            <w:vAlign w:val="center"/>
          </w:tcPr>
          <w:p w14:paraId="20CFBBD3" w14:textId="08D0735D" w:rsidR="00417542" w:rsidRPr="004A63EE" w:rsidRDefault="00417542" w:rsidP="00573380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60" w:type="dxa"/>
            <w:vAlign w:val="center"/>
          </w:tcPr>
          <w:p w14:paraId="5C6550F0" w14:textId="7F9F7182" w:rsidR="00417542" w:rsidRPr="004A63EE" w:rsidRDefault="00417542" w:rsidP="00417542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4A63EE">
              <w:rPr>
                <w:rFonts w:asciiTheme="majorHAnsi" w:hAnsiTheme="majorHAnsi" w:cstheme="majorHAnsi"/>
                <w:sz w:val="24"/>
              </w:rPr>
              <w:t xml:space="preserve">Szybkość bolusa programowana minimum </w:t>
            </w:r>
            <w:r w:rsidR="000864C2" w:rsidRPr="004A63EE">
              <w:rPr>
                <w:rFonts w:asciiTheme="majorHAnsi" w:hAnsiTheme="majorHAnsi" w:cstheme="majorHAnsi"/>
                <w:sz w:val="24"/>
              </w:rPr>
              <w:br/>
            </w:r>
            <w:r w:rsidRPr="004A63EE">
              <w:rPr>
                <w:rFonts w:asciiTheme="majorHAnsi" w:hAnsiTheme="majorHAnsi" w:cstheme="majorHAnsi"/>
                <w:sz w:val="24"/>
              </w:rPr>
              <w:t>w zakresie 0,1-</w:t>
            </w:r>
            <w:r w:rsidR="00122376" w:rsidRPr="004A63EE">
              <w:rPr>
                <w:rFonts w:asciiTheme="majorHAnsi" w:hAnsiTheme="majorHAnsi" w:cstheme="majorHAnsi"/>
                <w:sz w:val="24"/>
              </w:rPr>
              <w:t>1500</w:t>
            </w:r>
            <w:r w:rsidRPr="004A63EE">
              <w:rPr>
                <w:rFonts w:asciiTheme="majorHAnsi" w:hAnsiTheme="majorHAnsi" w:cstheme="majorHAnsi"/>
                <w:sz w:val="24"/>
              </w:rPr>
              <w:t xml:space="preserve"> ml/h.</w:t>
            </w:r>
            <w:r w:rsidR="00610A57" w:rsidRPr="004A63EE">
              <w:rPr>
                <w:rFonts w:asciiTheme="majorHAnsi" w:hAnsiTheme="majorHAnsi" w:cstheme="majorHAnsi"/>
                <w:sz w:val="24"/>
              </w:rPr>
              <w:t xml:space="preserve"> </w:t>
            </w:r>
          </w:p>
        </w:tc>
        <w:tc>
          <w:tcPr>
            <w:tcW w:w="4252" w:type="dxa"/>
            <w:vAlign w:val="center"/>
          </w:tcPr>
          <w:p w14:paraId="35DEE560" w14:textId="25325057" w:rsidR="00417542" w:rsidRPr="004A63EE" w:rsidRDefault="008F6985" w:rsidP="00417542">
            <w:pPr>
              <w:jc w:val="center"/>
              <w:rPr>
                <w:rFonts w:asciiTheme="majorHAnsi" w:hAnsiTheme="majorHAnsi" w:cstheme="majorHAnsi"/>
                <w:sz w:val="24"/>
              </w:rPr>
            </w:pPr>
            <w:r w:rsidRPr="004A63EE">
              <w:rPr>
                <w:rFonts w:asciiTheme="majorHAnsi" w:hAnsiTheme="majorHAnsi" w:cstheme="majorHAnsi"/>
                <w:sz w:val="24"/>
              </w:rPr>
              <w:t>TAK</w:t>
            </w:r>
          </w:p>
        </w:tc>
        <w:tc>
          <w:tcPr>
            <w:tcW w:w="4253" w:type="dxa"/>
            <w:vAlign w:val="center"/>
          </w:tcPr>
          <w:p w14:paraId="431253B7" w14:textId="77777777" w:rsidR="00417542" w:rsidRPr="004A63EE" w:rsidRDefault="00417542" w:rsidP="00417542">
            <w:pPr>
              <w:jc w:val="center"/>
              <w:rPr>
                <w:rFonts w:asciiTheme="majorHAnsi" w:hAnsiTheme="majorHAnsi" w:cstheme="majorHAnsi"/>
                <w:sz w:val="24"/>
              </w:rPr>
            </w:pPr>
          </w:p>
        </w:tc>
      </w:tr>
      <w:tr w:rsidR="004A63EE" w:rsidRPr="004A63EE" w14:paraId="077C35A9" w14:textId="77777777">
        <w:trPr>
          <w:jc w:val="center"/>
        </w:trPr>
        <w:tc>
          <w:tcPr>
            <w:tcW w:w="664" w:type="dxa"/>
            <w:vAlign w:val="center"/>
          </w:tcPr>
          <w:p w14:paraId="18B0FA0A" w14:textId="3FE661F2" w:rsidR="00417542" w:rsidRPr="004A63EE" w:rsidRDefault="00417542" w:rsidP="00573380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60" w:type="dxa"/>
            <w:vAlign w:val="center"/>
          </w:tcPr>
          <w:p w14:paraId="58750C87" w14:textId="7775A8EE" w:rsidR="00417542" w:rsidRPr="004A63EE" w:rsidRDefault="00417542" w:rsidP="00417542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4A63EE">
              <w:rPr>
                <w:rFonts w:asciiTheme="majorHAnsi" w:hAnsiTheme="majorHAnsi" w:cstheme="majorHAnsi"/>
                <w:sz w:val="24"/>
              </w:rPr>
              <w:t>Możliwość podaży bolusa w jednostkach: ml.</w:t>
            </w:r>
          </w:p>
        </w:tc>
        <w:tc>
          <w:tcPr>
            <w:tcW w:w="4252" w:type="dxa"/>
            <w:vAlign w:val="center"/>
          </w:tcPr>
          <w:p w14:paraId="1D6E7F0C" w14:textId="348190F1" w:rsidR="00417542" w:rsidRPr="004A63EE" w:rsidRDefault="008F6985" w:rsidP="00417542">
            <w:pPr>
              <w:jc w:val="center"/>
              <w:rPr>
                <w:rFonts w:asciiTheme="majorHAnsi" w:hAnsiTheme="majorHAnsi" w:cstheme="majorHAnsi"/>
              </w:rPr>
            </w:pPr>
            <w:r w:rsidRPr="004A63EE">
              <w:rPr>
                <w:rFonts w:asciiTheme="majorHAnsi" w:hAnsiTheme="majorHAnsi" w:cstheme="majorHAnsi"/>
              </w:rPr>
              <w:t>TAK</w:t>
            </w:r>
          </w:p>
        </w:tc>
        <w:tc>
          <w:tcPr>
            <w:tcW w:w="4253" w:type="dxa"/>
            <w:vAlign w:val="center"/>
          </w:tcPr>
          <w:p w14:paraId="330CA755" w14:textId="77777777" w:rsidR="00417542" w:rsidRPr="004A63EE" w:rsidRDefault="00417542" w:rsidP="00417542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4A63EE" w:rsidRPr="004A63EE" w14:paraId="6E30364E" w14:textId="77777777">
        <w:trPr>
          <w:jc w:val="center"/>
        </w:trPr>
        <w:tc>
          <w:tcPr>
            <w:tcW w:w="664" w:type="dxa"/>
            <w:vAlign w:val="center"/>
          </w:tcPr>
          <w:p w14:paraId="77CEE0BA" w14:textId="04484C5F" w:rsidR="00417542" w:rsidRPr="004A63EE" w:rsidRDefault="00417542" w:rsidP="00573380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60" w:type="dxa"/>
            <w:vAlign w:val="center"/>
          </w:tcPr>
          <w:p w14:paraId="569042B2" w14:textId="4BBCF94D" w:rsidR="00417542" w:rsidRPr="004A63EE" w:rsidRDefault="00417542" w:rsidP="00417542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4A63EE">
              <w:rPr>
                <w:rFonts w:asciiTheme="majorHAnsi" w:hAnsiTheme="majorHAnsi" w:cstheme="majorHAnsi"/>
                <w:sz w:val="24"/>
              </w:rPr>
              <w:t>Pompa inicjuje automatycznie redukcję bolusa po zresetowaniu alarmu okluzji</w:t>
            </w:r>
            <w:r w:rsidR="00E921CF" w:rsidRPr="004A63EE">
              <w:rPr>
                <w:rFonts w:asciiTheme="majorHAnsi" w:hAnsiTheme="majorHAnsi" w:cstheme="majorHAnsi"/>
                <w:sz w:val="24"/>
              </w:rPr>
              <w:t xml:space="preserve"> </w:t>
            </w:r>
          </w:p>
        </w:tc>
        <w:tc>
          <w:tcPr>
            <w:tcW w:w="4252" w:type="dxa"/>
            <w:vAlign w:val="center"/>
          </w:tcPr>
          <w:p w14:paraId="775B7BB4" w14:textId="0238A526" w:rsidR="00417542" w:rsidRPr="004A63EE" w:rsidRDefault="008F6985" w:rsidP="00417542">
            <w:pPr>
              <w:jc w:val="center"/>
              <w:rPr>
                <w:rFonts w:asciiTheme="majorHAnsi" w:hAnsiTheme="majorHAnsi" w:cstheme="majorHAnsi"/>
              </w:rPr>
            </w:pPr>
            <w:r w:rsidRPr="004A63EE">
              <w:rPr>
                <w:rFonts w:asciiTheme="majorHAnsi" w:hAnsiTheme="majorHAnsi" w:cstheme="majorHAnsi"/>
              </w:rPr>
              <w:t>TAK</w:t>
            </w:r>
          </w:p>
        </w:tc>
        <w:tc>
          <w:tcPr>
            <w:tcW w:w="4253" w:type="dxa"/>
            <w:vAlign w:val="center"/>
          </w:tcPr>
          <w:p w14:paraId="0BA5AED1" w14:textId="77777777" w:rsidR="00417542" w:rsidRPr="004A63EE" w:rsidRDefault="00417542" w:rsidP="00417542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4A63EE" w:rsidRPr="004A63EE" w14:paraId="247C1321" w14:textId="77777777">
        <w:trPr>
          <w:jc w:val="center"/>
        </w:trPr>
        <w:tc>
          <w:tcPr>
            <w:tcW w:w="664" w:type="dxa"/>
            <w:vAlign w:val="center"/>
          </w:tcPr>
          <w:p w14:paraId="6667D869" w14:textId="64A6889D" w:rsidR="00417542" w:rsidRPr="004A63EE" w:rsidRDefault="00417542" w:rsidP="00573380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60" w:type="dxa"/>
          </w:tcPr>
          <w:p w14:paraId="38E61A59" w14:textId="0F2BE95E" w:rsidR="00417542" w:rsidRPr="004A63EE" w:rsidRDefault="00417542" w:rsidP="00417542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4A63EE">
              <w:rPr>
                <w:rFonts w:asciiTheme="majorHAnsi" w:hAnsiTheme="majorHAnsi" w:cstheme="majorHAnsi"/>
                <w:sz w:val="24"/>
              </w:rPr>
              <w:t>Zmiana prędkości, prędkości dawkowania lub nazwy leku bez zatrzymywania infuzji.</w:t>
            </w:r>
          </w:p>
        </w:tc>
        <w:tc>
          <w:tcPr>
            <w:tcW w:w="4252" w:type="dxa"/>
            <w:vAlign w:val="center"/>
          </w:tcPr>
          <w:p w14:paraId="6E8D98E1" w14:textId="5DEED731" w:rsidR="00417542" w:rsidRPr="004A63EE" w:rsidRDefault="008F6985" w:rsidP="00417542">
            <w:pPr>
              <w:jc w:val="center"/>
              <w:rPr>
                <w:rFonts w:asciiTheme="majorHAnsi" w:hAnsiTheme="majorHAnsi" w:cstheme="majorHAnsi"/>
              </w:rPr>
            </w:pPr>
            <w:r w:rsidRPr="004A63EE">
              <w:rPr>
                <w:rFonts w:asciiTheme="majorHAnsi" w:hAnsiTheme="majorHAnsi" w:cstheme="majorHAnsi"/>
              </w:rPr>
              <w:t>TAK</w:t>
            </w:r>
          </w:p>
        </w:tc>
        <w:tc>
          <w:tcPr>
            <w:tcW w:w="4253" w:type="dxa"/>
            <w:vAlign w:val="center"/>
          </w:tcPr>
          <w:p w14:paraId="492ED3B1" w14:textId="77777777" w:rsidR="00417542" w:rsidRPr="004A63EE" w:rsidRDefault="00417542" w:rsidP="00417542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4A63EE" w:rsidRPr="004A63EE" w14:paraId="573580F1" w14:textId="77777777">
        <w:trPr>
          <w:jc w:val="center"/>
        </w:trPr>
        <w:tc>
          <w:tcPr>
            <w:tcW w:w="664" w:type="dxa"/>
            <w:vAlign w:val="center"/>
          </w:tcPr>
          <w:p w14:paraId="6484AFAD" w14:textId="63D3E066" w:rsidR="00417542" w:rsidRPr="004A63EE" w:rsidRDefault="00417542" w:rsidP="00573380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60" w:type="dxa"/>
            <w:vAlign w:val="center"/>
          </w:tcPr>
          <w:p w14:paraId="51546753" w14:textId="1A87F28A" w:rsidR="00417542" w:rsidRPr="004A63EE" w:rsidRDefault="00417542" w:rsidP="00417542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4A63EE">
              <w:rPr>
                <w:rFonts w:asciiTheme="majorHAnsi" w:hAnsiTheme="majorHAnsi" w:cstheme="majorHAnsi"/>
                <w:sz w:val="24"/>
              </w:rPr>
              <w:t>Wykrywanie okluzji górnej (pojemnik/ pompa) oraz okluzji dolnej (pompa/pacjent)</w:t>
            </w:r>
          </w:p>
        </w:tc>
        <w:tc>
          <w:tcPr>
            <w:tcW w:w="4252" w:type="dxa"/>
            <w:vAlign w:val="center"/>
          </w:tcPr>
          <w:p w14:paraId="2E0CAF13" w14:textId="242E23BD" w:rsidR="00417542" w:rsidRPr="004A63EE" w:rsidRDefault="008F6985" w:rsidP="00417542">
            <w:pPr>
              <w:jc w:val="center"/>
              <w:rPr>
                <w:rFonts w:asciiTheme="majorHAnsi" w:hAnsiTheme="majorHAnsi" w:cstheme="majorHAnsi"/>
              </w:rPr>
            </w:pPr>
            <w:r w:rsidRPr="004A63EE">
              <w:rPr>
                <w:rFonts w:asciiTheme="majorHAnsi" w:hAnsiTheme="majorHAnsi" w:cstheme="majorHAnsi"/>
              </w:rPr>
              <w:t>TAK</w:t>
            </w:r>
          </w:p>
        </w:tc>
        <w:tc>
          <w:tcPr>
            <w:tcW w:w="4253" w:type="dxa"/>
            <w:vAlign w:val="center"/>
          </w:tcPr>
          <w:p w14:paraId="37A5302A" w14:textId="77777777" w:rsidR="00417542" w:rsidRPr="004A63EE" w:rsidRDefault="00417542" w:rsidP="00417542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4A63EE" w:rsidRPr="004A63EE" w14:paraId="423A1CF0" w14:textId="77777777">
        <w:trPr>
          <w:jc w:val="center"/>
        </w:trPr>
        <w:tc>
          <w:tcPr>
            <w:tcW w:w="664" w:type="dxa"/>
            <w:vAlign w:val="center"/>
          </w:tcPr>
          <w:p w14:paraId="0FFF0B78" w14:textId="5254A270" w:rsidR="00417542" w:rsidRPr="004A63EE" w:rsidRDefault="00417542" w:rsidP="00573380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60" w:type="dxa"/>
            <w:vAlign w:val="center"/>
          </w:tcPr>
          <w:p w14:paraId="4667BDF4" w14:textId="0483AAEA" w:rsidR="00417542" w:rsidRPr="004A63EE" w:rsidRDefault="00417542" w:rsidP="00417542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4A63EE">
              <w:rPr>
                <w:rFonts w:asciiTheme="majorHAnsi" w:hAnsiTheme="majorHAnsi" w:cstheme="majorHAnsi"/>
                <w:sz w:val="24"/>
              </w:rPr>
              <w:t xml:space="preserve">Regulowane progi ciśnienia  w zakresie min. od 50 do </w:t>
            </w:r>
            <w:r w:rsidR="00EB1F84" w:rsidRPr="004A63EE">
              <w:rPr>
                <w:rFonts w:asciiTheme="majorHAnsi" w:hAnsiTheme="majorHAnsi" w:cstheme="majorHAnsi"/>
                <w:sz w:val="24"/>
              </w:rPr>
              <w:t>750</w:t>
            </w:r>
            <w:r w:rsidRPr="004A63EE">
              <w:rPr>
                <w:rFonts w:asciiTheme="majorHAnsi" w:hAnsiTheme="majorHAnsi" w:cstheme="majorHAnsi"/>
                <w:sz w:val="24"/>
              </w:rPr>
              <w:t xml:space="preserve"> mm Hg</w:t>
            </w:r>
            <w:r w:rsidR="00E921CF" w:rsidRPr="004A63EE">
              <w:rPr>
                <w:rFonts w:asciiTheme="majorHAnsi" w:hAnsiTheme="majorHAnsi" w:cstheme="majorHAnsi"/>
                <w:sz w:val="24"/>
              </w:rPr>
              <w:t xml:space="preserve"> </w:t>
            </w:r>
          </w:p>
        </w:tc>
        <w:tc>
          <w:tcPr>
            <w:tcW w:w="4252" w:type="dxa"/>
            <w:vAlign w:val="center"/>
          </w:tcPr>
          <w:p w14:paraId="14EF1ECC" w14:textId="46D5DFAC" w:rsidR="00417542" w:rsidRPr="004A63EE" w:rsidRDefault="008F6985" w:rsidP="00417542">
            <w:pPr>
              <w:jc w:val="center"/>
              <w:rPr>
                <w:rFonts w:asciiTheme="majorHAnsi" w:hAnsiTheme="majorHAnsi" w:cstheme="majorHAnsi"/>
              </w:rPr>
            </w:pPr>
            <w:r w:rsidRPr="004A63EE">
              <w:rPr>
                <w:rFonts w:asciiTheme="majorHAnsi" w:hAnsiTheme="majorHAnsi" w:cstheme="majorHAnsi"/>
              </w:rPr>
              <w:t>TAK</w:t>
            </w:r>
          </w:p>
        </w:tc>
        <w:tc>
          <w:tcPr>
            <w:tcW w:w="4253" w:type="dxa"/>
            <w:vAlign w:val="center"/>
          </w:tcPr>
          <w:p w14:paraId="347D33D4" w14:textId="77777777" w:rsidR="00417542" w:rsidRPr="004A63EE" w:rsidRDefault="00417542" w:rsidP="00417542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4A63EE" w:rsidRPr="004A63EE" w14:paraId="4E10A5F4" w14:textId="77777777">
        <w:trPr>
          <w:jc w:val="center"/>
        </w:trPr>
        <w:tc>
          <w:tcPr>
            <w:tcW w:w="664" w:type="dxa"/>
            <w:vAlign w:val="center"/>
          </w:tcPr>
          <w:p w14:paraId="606146E3" w14:textId="13E8866C" w:rsidR="00417542" w:rsidRPr="004A63EE" w:rsidRDefault="00417542" w:rsidP="00573380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60" w:type="dxa"/>
            <w:vAlign w:val="center"/>
          </w:tcPr>
          <w:p w14:paraId="0EE962C9" w14:textId="2F0938D1" w:rsidR="00417542" w:rsidRPr="004A63EE" w:rsidRDefault="00417542" w:rsidP="00417542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4A63EE">
              <w:rPr>
                <w:rFonts w:asciiTheme="majorHAnsi" w:hAnsiTheme="majorHAnsi" w:cstheme="majorHAnsi"/>
                <w:sz w:val="24"/>
              </w:rPr>
              <w:t xml:space="preserve">Możliwość wyboru min. </w:t>
            </w:r>
            <w:r w:rsidR="00E921CF" w:rsidRPr="004A63EE">
              <w:rPr>
                <w:rFonts w:asciiTheme="majorHAnsi" w:hAnsiTheme="majorHAnsi" w:cstheme="majorHAnsi"/>
                <w:sz w:val="24"/>
              </w:rPr>
              <w:t xml:space="preserve">4 </w:t>
            </w:r>
            <w:r w:rsidRPr="004A63EE">
              <w:rPr>
                <w:rFonts w:asciiTheme="majorHAnsi" w:hAnsiTheme="majorHAnsi" w:cstheme="majorHAnsi"/>
                <w:sz w:val="24"/>
              </w:rPr>
              <w:t xml:space="preserve"> jednostek ciśnienia: mmHg/kPa/psi</w:t>
            </w:r>
            <w:r w:rsidR="00E921CF" w:rsidRPr="004A63EE">
              <w:rPr>
                <w:rFonts w:asciiTheme="majorHAnsi" w:hAnsiTheme="majorHAnsi" w:cstheme="majorHAnsi"/>
                <w:sz w:val="24"/>
              </w:rPr>
              <w:t xml:space="preserve"> </w:t>
            </w:r>
          </w:p>
        </w:tc>
        <w:tc>
          <w:tcPr>
            <w:tcW w:w="4252" w:type="dxa"/>
            <w:vAlign w:val="center"/>
          </w:tcPr>
          <w:p w14:paraId="2A7F7736" w14:textId="33EA138E" w:rsidR="00417542" w:rsidRPr="004A63EE" w:rsidRDefault="008F6985" w:rsidP="00417542">
            <w:pPr>
              <w:jc w:val="center"/>
              <w:rPr>
                <w:rFonts w:asciiTheme="majorHAnsi" w:hAnsiTheme="majorHAnsi" w:cstheme="majorHAnsi"/>
              </w:rPr>
            </w:pPr>
            <w:r w:rsidRPr="004A63EE">
              <w:rPr>
                <w:rFonts w:asciiTheme="majorHAnsi" w:hAnsiTheme="majorHAnsi" w:cstheme="majorHAnsi"/>
              </w:rPr>
              <w:t>TAK</w:t>
            </w:r>
          </w:p>
        </w:tc>
        <w:tc>
          <w:tcPr>
            <w:tcW w:w="4253" w:type="dxa"/>
            <w:vAlign w:val="center"/>
          </w:tcPr>
          <w:p w14:paraId="770D2350" w14:textId="77777777" w:rsidR="00417542" w:rsidRPr="004A63EE" w:rsidRDefault="00417542" w:rsidP="00417542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4A63EE" w:rsidRPr="004A63EE" w14:paraId="754EB168" w14:textId="77777777">
        <w:trPr>
          <w:jc w:val="center"/>
        </w:trPr>
        <w:tc>
          <w:tcPr>
            <w:tcW w:w="664" w:type="dxa"/>
            <w:vAlign w:val="center"/>
          </w:tcPr>
          <w:p w14:paraId="09ADC79E" w14:textId="5A7987A4" w:rsidR="00417542" w:rsidRPr="004A63EE" w:rsidRDefault="00417542" w:rsidP="00573380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60" w:type="dxa"/>
            <w:vAlign w:val="center"/>
          </w:tcPr>
          <w:p w14:paraId="6ACF9E16" w14:textId="46C0871F" w:rsidR="00417542" w:rsidRPr="004A63EE" w:rsidRDefault="00417542" w:rsidP="00417542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4A63EE">
              <w:rPr>
                <w:rFonts w:asciiTheme="majorHAnsi" w:hAnsiTheme="majorHAnsi" w:cstheme="majorHAnsi"/>
                <w:sz w:val="24"/>
              </w:rPr>
              <w:t>Tryb mikro</w:t>
            </w:r>
            <w:r w:rsidR="003F0F21" w:rsidRPr="004A63EE">
              <w:rPr>
                <w:rFonts w:asciiTheme="majorHAnsi" w:hAnsiTheme="majorHAnsi" w:cstheme="majorHAnsi"/>
                <w:sz w:val="24"/>
              </w:rPr>
              <w:t>i</w:t>
            </w:r>
            <w:r w:rsidRPr="004A63EE">
              <w:rPr>
                <w:rFonts w:asciiTheme="majorHAnsi" w:hAnsiTheme="majorHAnsi" w:cstheme="majorHAnsi"/>
                <w:sz w:val="24"/>
              </w:rPr>
              <w:t xml:space="preserve">nfuzji z możliwością ustawienia zakresu prędkości od 0,1 ml/h do </w:t>
            </w:r>
            <w:r w:rsidR="00345D12" w:rsidRPr="004A63EE">
              <w:rPr>
                <w:rFonts w:asciiTheme="majorHAnsi" w:hAnsiTheme="majorHAnsi" w:cstheme="majorHAnsi"/>
                <w:sz w:val="24"/>
              </w:rPr>
              <w:t>99,9</w:t>
            </w:r>
            <w:r w:rsidRPr="004A63EE">
              <w:rPr>
                <w:rFonts w:asciiTheme="majorHAnsi" w:hAnsiTheme="majorHAnsi" w:cstheme="majorHAnsi"/>
                <w:sz w:val="24"/>
              </w:rPr>
              <w:t xml:space="preserve"> ml/h</w:t>
            </w:r>
            <w:r w:rsidR="00D85C31" w:rsidRPr="004A63EE">
              <w:rPr>
                <w:rFonts w:asciiTheme="majorHAnsi" w:hAnsiTheme="majorHAnsi" w:cstheme="majorHAnsi"/>
                <w:sz w:val="24"/>
              </w:rPr>
              <w:t xml:space="preserve">  </w:t>
            </w:r>
          </w:p>
        </w:tc>
        <w:tc>
          <w:tcPr>
            <w:tcW w:w="4252" w:type="dxa"/>
            <w:vAlign w:val="center"/>
          </w:tcPr>
          <w:p w14:paraId="39F099D8" w14:textId="59975FFC" w:rsidR="00417542" w:rsidRPr="004A63EE" w:rsidRDefault="008F6985" w:rsidP="00417542">
            <w:pPr>
              <w:jc w:val="center"/>
              <w:rPr>
                <w:rFonts w:asciiTheme="majorHAnsi" w:hAnsiTheme="majorHAnsi" w:cstheme="majorHAnsi"/>
              </w:rPr>
            </w:pPr>
            <w:r w:rsidRPr="004A63EE">
              <w:rPr>
                <w:rFonts w:asciiTheme="majorHAnsi" w:hAnsiTheme="majorHAnsi" w:cstheme="majorHAnsi"/>
              </w:rPr>
              <w:t>TAK</w:t>
            </w:r>
          </w:p>
        </w:tc>
        <w:tc>
          <w:tcPr>
            <w:tcW w:w="4253" w:type="dxa"/>
            <w:vAlign w:val="center"/>
          </w:tcPr>
          <w:p w14:paraId="5E4AC404" w14:textId="77777777" w:rsidR="00417542" w:rsidRPr="004A63EE" w:rsidRDefault="00417542" w:rsidP="00417542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4A63EE" w:rsidRPr="004A63EE" w14:paraId="384C0D67" w14:textId="77777777">
        <w:trPr>
          <w:jc w:val="center"/>
        </w:trPr>
        <w:tc>
          <w:tcPr>
            <w:tcW w:w="664" w:type="dxa"/>
            <w:vAlign w:val="center"/>
          </w:tcPr>
          <w:p w14:paraId="2B3B8203" w14:textId="03559771" w:rsidR="00417542" w:rsidRPr="004A63EE" w:rsidRDefault="00417542" w:rsidP="00573380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60" w:type="dxa"/>
            <w:vAlign w:val="center"/>
          </w:tcPr>
          <w:p w14:paraId="24F77ACB" w14:textId="47A531DD" w:rsidR="00417542" w:rsidRPr="004A63EE" w:rsidRDefault="00417542" w:rsidP="00417542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4A63EE">
              <w:rPr>
                <w:rFonts w:asciiTheme="majorHAnsi" w:hAnsiTheme="majorHAnsi" w:cstheme="majorHAnsi"/>
                <w:sz w:val="24"/>
              </w:rPr>
              <w:t>Czas pracy z akumulatora minimum 5 h przy infuzji 5ml/h.</w:t>
            </w:r>
          </w:p>
        </w:tc>
        <w:tc>
          <w:tcPr>
            <w:tcW w:w="4252" w:type="dxa"/>
            <w:vAlign w:val="center"/>
          </w:tcPr>
          <w:p w14:paraId="452E7F15" w14:textId="02BA6B37" w:rsidR="00417542" w:rsidRPr="004A63EE" w:rsidRDefault="008F6985" w:rsidP="00417542">
            <w:pPr>
              <w:jc w:val="center"/>
              <w:rPr>
                <w:rFonts w:asciiTheme="majorHAnsi" w:hAnsiTheme="majorHAnsi" w:cstheme="majorHAnsi"/>
              </w:rPr>
            </w:pPr>
            <w:r w:rsidRPr="004A63EE">
              <w:rPr>
                <w:rFonts w:asciiTheme="majorHAnsi" w:hAnsiTheme="majorHAnsi" w:cstheme="majorHAnsi"/>
              </w:rPr>
              <w:t>TAK</w:t>
            </w:r>
          </w:p>
        </w:tc>
        <w:tc>
          <w:tcPr>
            <w:tcW w:w="4253" w:type="dxa"/>
            <w:vAlign w:val="center"/>
          </w:tcPr>
          <w:p w14:paraId="23CE3175" w14:textId="77777777" w:rsidR="00417542" w:rsidRPr="004A63EE" w:rsidRDefault="00417542" w:rsidP="00417542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4A63EE" w:rsidRPr="004A63EE" w14:paraId="1647BF3B" w14:textId="77777777">
        <w:trPr>
          <w:jc w:val="center"/>
        </w:trPr>
        <w:tc>
          <w:tcPr>
            <w:tcW w:w="664" w:type="dxa"/>
            <w:vAlign w:val="center"/>
          </w:tcPr>
          <w:p w14:paraId="578404DB" w14:textId="059F7D02" w:rsidR="00417542" w:rsidRPr="004A63EE" w:rsidRDefault="00417542" w:rsidP="00573380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60" w:type="dxa"/>
            <w:vAlign w:val="center"/>
          </w:tcPr>
          <w:p w14:paraId="0D1EFA9B" w14:textId="77777777" w:rsidR="00417542" w:rsidRPr="004A63EE" w:rsidRDefault="00417542" w:rsidP="00417542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4A63EE">
              <w:rPr>
                <w:rFonts w:asciiTheme="majorHAnsi" w:hAnsiTheme="majorHAnsi" w:cstheme="majorHAnsi"/>
                <w:sz w:val="24"/>
              </w:rPr>
              <w:t xml:space="preserve">Pompa posiada funkcję </w:t>
            </w:r>
            <w:r w:rsidR="00D85C31" w:rsidRPr="004A63EE">
              <w:rPr>
                <w:rFonts w:asciiTheme="majorHAnsi" w:hAnsiTheme="majorHAnsi" w:cstheme="majorHAnsi"/>
                <w:sz w:val="24"/>
              </w:rPr>
              <w:t xml:space="preserve">ręcznego lub </w:t>
            </w:r>
            <w:r w:rsidRPr="004A63EE">
              <w:rPr>
                <w:rFonts w:asciiTheme="majorHAnsi" w:hAnsiTheme="majorHAnsi" w:cstheme="majorHAnsi"/>
                <w:sz w:val="24"/>
              </w:rPr>
              <w:t>automatycznego blokowania klawiatury</w:t>
            </w:r>
            <w:r w:rsidR="00D85C31" w:rsidRPr="004A63EE">
              <w:rPr>
                <w:rFonts w:asciiTheme="majorHAnsi" w:hAnsiTheme="majorHAnsi" w:cstheme="majorHAnsi"/>
                <w:sz w:val="24"/>
              </w:rPr>
              <w:t xml:space="preserve">. </w:t>
            </w:r>
            <w:r w:rsidRPr="004A63EE">
              <w:rPr>
                <w:rFonts w:asciiTheme="majorHAnsi" w:hAnsiTheme="majorHAnsi" w:cstheme="majorHAnsi"/>
                <w:sz w:val="24"/>
              </w:rPr>
              <w:t>- blokada następuje po upływie zaprogramowanego czasu: 15 s, 30 s, 1 min, 2 min, 3 min, 4 min, 5 min</w:t>
            </w:r>
            <w:r w:rsidR="00BA7E8D" w:rsidRPr="004A63EE">
              <w:rPr>
                <w:rFonts w:asciiTheme="majorHAnsi" w:hAnsiTheme="majorHAnsi" w:cstheme="majorHAnsi"/>
                <w:sz w:val="24"/>
              </w:rPr>
              <w:t xml:space="preserve">. </w:t>
            </w:r>
          </w:p>
          <w:p w14:paraId="7EBB21DE" w14:textId="5B9C0694" w:rsidR="00BA7E8D" w:rsidRPr="004A63EE" w:rsidRDefault="00BA7E8D" w:rsidP="00417542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4A63EE">
              <w:rPr>
                <w:rFonts w:asciiTheme="majorHAnsi" w:hAnsiTheme="majorHAnsi" w:cstheme="majorHAnsi"/>
                <w:sz w:val="24"/>
              </w:rPr>
              <w:t xml:space="preserve">Blokada możliwa do wyłączenia ręcznie lub poprzez wpisanie min. 4-cyfrowego numeru PIN </w:t>
            </w:r>
          </w:p>
        </w:tc>
        <w:tc>
          <w:tcPr>
            <w:tcW w:w="4252" w:type="dxa"/>
            <w:vAlign w:val="center"/>
          </w:tcPr>
          <w:p w14:paraId="6C0F3975" w14:textId="15E01BC0" w:rsidR="00417542" w:rsidRPr="004A63EE" w:rsidRDefault="008F6985" w:rsidP="00417542">
            <w:pPr>
              <w:jc w:val="center"/>
              <w:rPr>
                <w:rFonts w:asciiTheme="majorHAnsi" w:hAnsiTheme="majorHAnsi" w:cstheme="majorHAnsi"/>
              </w:rPr>
            </w:pPr>
            <w:r w:rsidRPr="004A63EE">
              <w:rPr>
                <w:rFonts w:asciiTheme="majorHAnsi" w:hAnsiTheme="majorHAnsi" w:cstheme="majorHAnsi"/>
              </w:rPr>
              <w:t>TAK</w:t>
            </w:r>
          </w:p>
        </w:tc>
        <w:tc>
          <w:tcPr>
            <w:tcW w:w="4253" w:type="dxa"/>
            <w:vAlign w:val="center"/>
          </w:tcPr>
          <w:p w14:paraId="1F1C286E" w14:textId="77777777" w:rsidR="00417542" w:rsidRPr="004A63EE" w:rsidRDefault="00417542" w:rsidP="00417542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4A63EE" w:rsidRPr="004A63EE" w14:paraId="0C60DA9E" w14:textId="77777777">
        <w:trPr>
          <w:jc w:val="center"/>
        </w:trPr>
        <w:tc>
          <w:tcPr>
            <w:tcW w:w="664" w:type="dxa"/>
            <w:vAlign w:val="center"/>
          </w:tcPr>
          <w:p w14:paraId="18EF87A8" w14:textId="528B569F" w:rsidR="00FB3A95" w:rsidRPr="004A63EE" w:rsidRDefault="00FB3A95" w:rsidP="00573380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60" w:type="dxa"/>
            <w:vAlign w:val="center"/>
          </w:tcPr>
          <w:p w14:paraId="3833ED88" w14:textId="10BC1ECD" w:rsidR="00FB3A95" w:rsidRPr="004A63EE" w:rsidRDefault="00142244" w:rsidP="00417542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4A63EE">
              <w:rPr>
                <w:rFonts w:asciiTheme="majorHAnsi" w:hAnsiTheme="majorHAnsi" w:cstheme="majorHAnsi"/>
                <w:sz w:val="24"/>
              </w:rPr>
              <w:t>Aktualizacja oprogramowania urządzenia oraz importu biblioteki leków bezpośrednio z pamięci USB, bez konieczności użycia komputera lub dodatkowego oprogramowania.</w:t>
            </w:r>
          </w:p>
        </w:tc>
        <w:tc>
          <w:tcPr>
            <w:tcW w:w="4252" w:type="dxa"/>
            <w:vAlign w:val="center"/>
          </w:tcPr>
          <w:p w14:paraId="3B2C4868" w14:textId="3195E435" w:rsidR="00FB3A95" w:rsidRPr="004A63EE" w:rsidRDefault="00F460E2" w:rsidP="00142244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TAK</w:t>
            </w:r>
          </w:p>
        </w:tc>
        <w:tc>
          <w:tcPr>
            <w:tcW w:w="4253" w:type="dxa"/>
            <w:vAlign w:val="center"/>
          </w:tcPr>
          <w:p w14:paraId="2CE29AFE" w14:textId="77777777" w:rsidR="00FB3A95" w:rsidRPr="004A63EE" w:rsidRDefault="00FB3A95" w:rsidP="00417542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4A63EE" w:rsidRPr="004A63EE" w14:paraId="091CE079" w14:textId="77777777">
        <w:trPr>
          <w:jc w:val="center"/>
        </w:trPr>
        <w:tc>
          <w:tcPr>
            <w:tcW w:w="664" w:type="dxa"/>
            <w:vAlign w:val="center"/>
          </w:tcPr>
          <w:p w14:paraId="1FA7D402" w14:textId="4686E1A3" w:rsidR="00142244" w:rsidRPr="004A63EE" w:rsidRDefault="00142244" w:rsidP="00573380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60" w:type="dxa"/>
            <w:vAlign w:val="center"/>
          </w:tcPr>
          <w:p w14:paraId="047D15E4" w14:textId="512566B9" w:rsidR="00142244" w:rsidRPr="004A63EE" w:rsidRDefault="00CF617B" w:rsidP="00417542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4A63EE">
              <w:rPr>
                <w:rFonts w:asciiTheme="majorHAnsi" w:hAnsiTheme="majorHAnsi" w:cstheme="majorHAnsi"/>
                <w:sz w:val="24"/>
              </w:rPr>
              <w:t>Historia zdarzeń dostępna bezpośrednio z pompy – rejestr</w:t>
            </w:r>
            <w:r w:rsidR="004E27D5" w:rsidRPr="004A63EE">
              <w:rPr>
                <w:rFonts w:asciiTheme="majorHAnsi" w:hAnsiTheme="majorHAnsi" w:cstheme="majorHAnsi"/>
                <w:sz w:val="24"/>
              </w:rPr>
              <w:t xml:space="preserve"> </w:t>
            </w:r>
            <w:r w:rsidR="004E4FF5" w:rsidRPr="004A63EE">
              <w:rPr>
                <w:rFonts w:asciiTheme="majorHAnsi" w:hAnsiTheme="majorHAnsi" w:cstheme="majorHAnsi"/>
                <w:sz w:val="24"/>
              </w:rPr>
              <w:t>1500</w:t>
            </w:r>
            <w:r w:rsidRPr="004A63EE">
              <w:rPr>
                <w:rFonts w:asciiTheme="majorHAnsi" w:hAnsiTheme="majorHAnsi" w:cstheme="majorHAnsi"/>
                <w:sz w:val="24"/>
              </w:rPr>
              <w:t xml:space="preserve"> zdarzeń z datą i godziną </w:t>
            </w:r>
            <w:r w:rsidRPr="004A63EE">
              <w:rPr>
                <w:rFonts w:asciiTheme="majorHAnsi" w:hAnsiTheme="majorHAnsi" w:cstheme="majorHAnsi"/>
                <w:sz w:val="24"/>
              </w:rPr>
              <w:lastRenderedPageBreak/>
              <w:t>zdarzenia z zapisem każdej czynności wykonywanej na pompie.</w:t>
            </w:r>
          </w:p>
        </w:tc>
        <w:tc>
          <w:tcPr>
            <w:tcW w:w="4252" w:type="dxa"/>
            <w:vAlign w:val="center"/>
          </w:tcPr>
          <w:p w14:paraId="4DBD720B" w14:textId="23F9244B" w:rsidR="00142244" w:rsidRPr="004A63EE" w:rsidRDefault="002276DB" w:rsidP="00142244">
            <w:pPr>
              <w:jc w:val="center"/>
              <w:rPr>
                <w:rFonts w:asciiTheme="majorHAnsi" w:hAnsiTheme="majorHAnsi" w:cstheme="majorHAnsi"/>
              </w:rPr>
            </w:pPr>
            <w:r w:rsidRPr="004A63EE">
              <w:rPr>
                <w:rFonts w:asciiTheme="majorHAnsi" w:hAnsiTheme="majorHAnsi" w:cstheme="majorHAnsi"/>
              </w:rPr>
              <w:lastRenderedPageBreak/>
              <w:t>TAK</w:t>
            </w:r>
          </w:p>
        </w:tc>
        <w:tc>
          <w:tcPr>
            <w:tcW w:w="4253" w:type="dxa"/>
            <w:vAlign w:val="center"/>
          </w:tcPr>
          <w:p w14:paraId="77CCDBE5" w14:textId="77777777" w:rsidR="00142244" w:rsidRPr="004A63EE" w:rsidRDefault="00142244" w:rsidP="00417542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4A63EE" w:rsidRPr="004A63EE" w14:paraId="02FBA679" w14:textId="77777777">
        <w:trPr>
          <w:jc w:val="center"/>
        </w:trPr>
        <w:tc>
          <w:tcPr>
            <w:tcW w:w="664" w:type="dxa"/>
            <w:vAlign w:val="center"/>
          </w:tcPr>
          <w:p w14:paraId="78E505A6" w14:textId="3F8AF5D1" w:rsidR="00CF617B" w:rsidRPr="004A63EE" w:rsidRDefault="00CF617B" w:rsidP="00573380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60" w:type="dxa"/>
            <w:vAlign w:val="center"/>
          </w:tcPr>
          <w:p w14:paraId="2F9CE6CF" w14:textId="77777777" w:rsidR="00CF617B" w:rsidRPr="004A63EE" w:rsidRDefault="002276DB" w:rsidP="00417542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4A63EE">
              <w:rPr>
                <w:rFonts w:asciiTheme="majorHAnsi" w:hAnsiTheme="majorHAnsi" w:cstheme="majorHAnsi"/>
                <w:sz w:val="24"/>
              </w:rPr>
              <w:t>Kolorowy dotykowy wyświetlacz dotykowy LCD o przekątnej min</w:t>
            </w:r>
            <w:r w:rsidR="000A4A94" w:rsidRPr="004A63EE">
              <w:rPr>
                <w:rFonts w:asciiTheme="majorHAnsi" w:hAnsiTheme="majorHAnsi" w:cstheme="majorHAnsi"/>
                <w:sz w:val="24"/>
              </w:rPr>
              <w:t xml:space="preserve">. </w:t>
            </w:r>
            <w:r w:rsidRPr="004A63EE">
              <w:rPr>
                <w:rFonts w:asciiTheme="majorHAnsi" w:hAnsiTheme="majorHAnsi" w:cstheme="majorHAnsi"/>
                <w:sz w:val="24"/>
              </w:rPr>
              <w:t>3</w:t>
            </w:r>
            <w:r w:rsidR="00D20992" w:rsidRPr="004A63EE">
              <w:rPr>
                <w:rFonts w:asciiTheme="majorHAnsi" w:hAnsiTheme="majorHAnsi" w:cstheme="majorHAnsi"/>
                <w:sz w:val="24"/>
              </w:rPr>
              <w:t>,5</w:t>
            </w:r>
            <w:r w:rsidRPr="004A63EE">
              <w:rPr>
                <w:rFonts w:asciiTheme="majorHAnsi" w:hAnsiTheme="majorHAnsi" w:cstheme="majorHAnsi"/>
                <w:sz w:val="24"/>
              </w:rPr>
              <w:t>";</w:t>
            </w:r>
          </w:p>
          <w:p w14:paraId="4DB55A36" w14:textId="77777777" w:rsidR="006B1A52" w:rsidRPr="004A63EE" w:rsidRDefault="006B1A52" w:rsidP="00417542">
            <w:pPr>
              <w:jc w:val="both"/>
              <w:rPr>
                <w:rFonts w:asciiTheme="majorHAnsi" w:hAnsiTheme="majorHAnsi" w:cstheme="majorHAnsi"/>
                <w:sz w:val="24"/>
              </w:rPr>
            </w:pPr>
          </w:p>
          <w:p w14:paraId="345B1DA0" w14:textId="77777777" w:rsidR="006B1A52" w:rsidRPr="004A63EE" w:rsidRDefault="006B1A52" w:rsidP="00417542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4A63EE">
              <w:rPr>
                <w:rFonts w:asciiTheme="majorHAnsi" w:hAnsiTheme="majorHAnsi" w:cstheme="majorHAnsi"/>
                <w:sz w:val="24"/>
              </w:rPr>
              <w:t xml:space="preserve">Równoważnie </w:t>
            </w:r>
          </w:p>
          <w:p w14:paraId="05169770" w14:textId="14CEC2DE" w:rsidR="006B1A52" w:rsidRPr="004A63EE" w:rsidRDefault="00925A3E" w:rsidP="00417542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4A63EE">
              <w:rPr>
                <w:rFonts w:asciiTheme="majorHAnsi" w:hAnsiTheme="majorHAnsi" w:cstheme="majorHAnsi"/>
                <w:sz w:val="24"/>
              </w:rPr>
              <w:t>Niebieski monochromatycznym czytelnym graficznym wyświetlaczem LCD o wymiarach 70 mm × 35 mm z bardzo czytelną i intuicyjną klawiaturę symboliczną umożliwiającą łatwą obsługę pompy</w:t>
            </w:r>
          </w:p>
        </w:tc>
        <w:tc>
          <w:tcPr>
            <w:tcW w:w="4252" w:type="dxa"/>
            <w:vAlign w:val="center"/>
          </w:tcPr>
          <w:p w14:paraId="4EBC46FA" w14:textId="533A9D1C" w:rsidR="00CF617B" w:rsidRPr="004A63EE" w:rsidRDefault="002276DB" w:rsidP="00142244">
            <w:pPr>
              <w:jc w:val="center"/>
              <w:rPr>
                <w:rFonts w:asciiTheme="majorHAnsi" w:hAnsiTheme="majorHAnsi" w:cstheme="majorHAnsi"/>
              </w:rPr>
            </w:pPr>
            <w:r w:rsidRPr="004A63EE">
              <w:rPr>
                <w:rFonts w:asciiTheme="majorHAnsi" w:hAnsiTheme="majorHAnsi" w:cstheme="majorHAnsi"/>
              </w:rPr>
              <w:t>TAK</w:t>
            </w:r>
          </w:p>
        </w:tc>
        <w:tc>
          <w:tcPr>
            <w:tcW w:w="4253" w:type="dxa"/>
            <w:vAlign w:val="center"/>
          </w:tcPr>
          <w:p w14:paraId="27FBD3DE" w14:textId="77777777" w:rsidR="00CF617B" w:rsidRPr="004A63EE" w:rsidRDefault="00CF617B" w:rsidP="00417542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4A63EE" w:rsidRPr="004A63EE" w14:paraId="7039E735" w14:textId="77777777">
        <w:trPr>
          <w:jc w:val="center"/>
        </w:trPr>
        <w:tc>
          <w:tcPr>
            <w:tcW w:w="664" w:type="dxa"/>
            <w:vAlign w:val="center"/>
          </w:tcPr>
          <w:p w14:paraId="056C416E" w14:textId="51053754" w:rsidR="004950D0" w:rsidRPr="004A63EE" w:rsidRDefault="004950D0" w:rsidP="00573380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60" w:type="dxa"/>
            <w:vAlign w:val="center"/>
          </w:tcPr>
          <w:p w14:paraId="2516C58C" w14:textId="7043E87C" w:rsidR="004950D0" w:rsidRPr="004A63EE" w:rsidRDefault="004950D0" w:rsidP="00417542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4A63EE">
              <w:rPr>
                <w:rFonts w:asciiTheme="majorHAnsi" w:hAnsiTheme="majorHAnsi" w:cstheme="majorHAnsi"/>
                <w:sz w:val="24"/>
              </w:rPr>
              <w:t>Pompa wyposażona w port USB pozwalający na import/eksport danych.</w:t>
            </w:r>
          </w:p>
        </w:tc>
        <w:tc>
          <w:tcPr>
            <w:tcW w:w="4252" w:type="dxa"/>
            <w:vAlign w:val="center"/>
          </w:tcPr>
          <w:p w14:paraId="75A54241" w14:textId="3103F7FF" w:rsidR="004950D0" w:rsidRPr="004A63EE" w:rsidRDefault="002276DB" w:rsidP="00F460E2">
            <w:pPr>
              <w:jc w:val="center"/>
              <w:rPr>
                <w:rFonts w:asciiTheme="majorHAnsi" w:hAnsiTheme="majorHAnsi" w:cstheme="majorHAnsi"/>
              </w:rPr>
            </w:pPr>
            <w:r w:rsidRPr="004A63EE">
              <w:rPr>
                <w:rFonts w:asciiTheme="majorHAnsi" w:hAnsiTheme="majorHAnsi" w:cstheme="majorHAnsi"/>
              </w:rPr>
              <w:t xml:space="preserve">TAK </w:t>
            </w:r>
          </w:p>
        </w:tc>
        <w:tc>
          <w:tcPr>
            <w:tcW w:w="4253" w:type="dxa"/>
            <w:vAlign w:val="center"/>
          </w:tcPr>
          <w:p w14:paraId="5FEBB2DE" w14:textId="77777777" w:rsidR="004950D0" w:rsidRPr="004A63EE" w:rsidRDefault="004950D0" w:rsidP="00417542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4A63EE" w:rsidRPr="004A63EE" w14:paraId="01F0BAED" w14:textId="77777777">
        <w:trPr>
          <w:jc w:val="center"/>
        </w:trPr>
        <w:tc>
          <w:tcPr>
            <w:tcW w:w="664" w:type="dxa"/>
            <w:vAlign w:val="center"/>
          </w:tcPr>
          <w:p w14:paraId="7BC41151" w14:textId="50287AA4" w:rsidR="004950D0" w:rsidRPr="004A63EE" w:rsidRDefault="004950D0" w:rsidP="00573380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60" w:type="dxa"/>
            <w:vAlign w:val="center"/>
          </w:tcPr>
          <w:p w14:paraId="2BD942B1" w14:textId="696FF5DD" w:rsidR="004950D0" w:rsidRPr="004A63EE" w:rsidRDefault="004950D0" w:rsidP="00417542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4A63EE">
              <w:rPr>
                <w:rFonts w:asciiTheme="majorHAnsi" w:hAnsiTheme="majorHAnsi" w:cstheme="majorHAnsi"/>
                <w:sz w:val="24"/>
              </w:rPr>
              <w:t>Komunikacja pomp ze stacją za pośrednictwem wielofunkcyjnego portu RS232</w:t>
            </w:r>
            <w:r w:rsidR="00925A3E" w:rsidRPr="004A63EE">
              <w:rPr>
                <w:rFonts w:asciiTheme="majorHAnsi" w:hAnsiTheme="majorHAnsi" w:cstheme="majorHAnsi"/>
                <w:sz w:val="24"/>
              </w:rPr>
              <w:t xml:space="preserve"> lub złącza podczerwieni</w:t>
            </w:r>
          </w:p>
        </w:tc>
        <w:tc>
          <w:tcPr>
            <w:tcW w:w="4252" w:type="dxa"/>
            <w:vAlign w:val="center"/>
          </w:tcPr>
          <w:p w14:paraId="48E05A4A" w14:textId="7EB6A4AF" w:rsidR="004950D0" w:rsidRPr="004A63EE" w:rsidRDefault="005D166B" w:rsidP="00142244">
            <w:pPr>
              <w:jc w:val="center"/>
              <w:rPr>
                <w:rFonts w:asciiTheme="majorHAnsi" w:hAnsiTheme="majorHAnsi" w:cstheme="majorHAnsi"/>
              </w:rPr>
            </w:pPr>
            <w:r w:rsidRPr="004A63EE">
              <w:rPr>
                <w:rFonts w:asciiTheme="majorHAnsi" w:hAnsiTheme="majorHAnsi" w:cstheme="majorHAnsi"/>
              </w:rPr>
              <w:t>TAK</w:t>
            </w:r>
          </w:p>
        </w:tc>
        <w:tc>
          <w:tcPr>
            <w:tcW w:w="4253" w:type="dxa"/>
            <w:vAlign w:val="center"/>
          </w:tcPr>
          <w:p w14:paraId="61F4A87D" w14:textId="77777777" w:rsidR="004950D0" w:rsidRPr="004A63EE" w:rsidRDefault="004950D0" w:rsidP="00417542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4A63EE" w:rsidRPr="004A63EE" w14:paraId="7F174834" w14:textId="77777777">
        <w:trPr>
          <w:jc w:val="center"/>
        </w:trPr>
        <w:tc>
          <w:tcPr>
            <w:tcW w:w="664" w:type="dxa"/>
            <w:vAlign w:val="center"/>
          </w:tcPr>
          <w:p w14:paraId="14EC54AB" w14:textId="3BF5B959" w:rsidR="005D166B" w:rsidRPr="004A63EE" w:rsidRDefault="005D166B" w:rsidP="00573380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60" w:type="dxa"/>
            <w:vAlign w:val="center"/>
          </w:tcPr>
          <w:p w14:paraId="4978E2E9" w14:textId="472527C5" w:rsidR="005D166B" w:rsidRPr="004A63EE" w:rsidRDefault="005D166B" w:rsidP="00417542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4A63EE">
              <w:rPr>
                <w:rFonts w:asciiTheme="majorHAnsi" w:hAnsiTheme="majorHAnsi" w:cstheme="majorHAnsi"/>
                <w:sz w:val="24"/>
              </w:rPr>
              <w:t>Pompa wyposażona w tryb kroplowy umożliwiający ustawienie prędkości, czasu lub VTBI z automatycznym przeliczeniem pozostałego parametru, w zakresie 1–400 kropli/min.</w:t>
            </w:r>
          </w:p>
        </w:tc>
        <w:tc>
          <w:tcPr>
            <w:tcW w:w="4252" w:type="dxa"/>
            <w:vAlign w:val="center"/>
          </w:tcPr>
          <w:p w14:paraId="3DA5E6BA" w14:textId="197F42B3" w:rsidR="005D166B" w:rsidRPr="004A63EE" w:rsidRDefault="005D166B" w:rsidP="00142244">
            <w:pPr>
              <w:jc w:val="center"/>
              <w:rPr>
                <w:rFonts w:asciiTheme="majorHAnsi" w:hAnsiTheme="majorHAnsi" w:cstheme="majorHAnsi"/>
              </w:rPr>
            </w:pPr>
            <w:r w:rsidRPr="004A63EE">
              <w:rPr>
                <w:rFonts w:asciiTheme="majorHAnsi" w:hAnsiTheme="majorHAnsi" w:cstheme="majorHAnsi"/>
              </w:rPr>
              <w:t>TAK</w:t>
            </w:r>
          </w:p>
        </w:tc>
        <w:tc>
          <w:tcPr>
            <w:tcW w:w="4253" w:type="dxa"/>
            <w:vAlign w:val="center"/>
          </w:tcPr>
          <w:p w14:paraId="20913E7F" w14:textId="77777777" w:rsidR="005D166B" w:rsidRPr="004A63EE" w:rsidRDefault="005D166B" w:rsidP="00417542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4A63EE" w:rsidRPr="004A63EE" w14:paraId="1C5064F2" w14:textId="77777777" w:rsidTr="00646E3A">
        <w:trPr>
          <w:trHeight w:val="274"/>
          <w:jc w:val="center"/>
        </w:trPr>
        <w:tc>
          <w:tcPr>
            <w:tcW w:w="664" w:type="dxa"/>
            <w:vAlign w:val="center"/>
          </w:tcPr>
          <w:p w14:paraId="394ED556" w14:textId="5CD46804" w:rsidR="00E87124" w:rsidRPr="004A63EE" w:rsidRDefault="00E87124" w:rsidP="00573380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60" w:type="dxa"/>
            <w:vAlign w:val="center"/>
          </w:tcPr>
          <w:p w14:paraId="0DC99F59" w14:textId="77777777" w:rsidR="00E87124" w:rsidRPr="004A63EE" w:rsidRDefault="000A4A94" w:rsidP="00417542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4A63EE">
              <w:rPr>
                <w:rFonts w:asciiTheme="majorHAnsi" w:hAnsiTheme="majorHAnsi" w:cstheme="majorHAnsi"/>
                <w:sz w:val="24"/>
              </w:rPr>
              <w:t>Pompa posiada płynną regulację progu ciśnienia okluzji w jednostkach mm Hg w zakresie min. 50–1100 mm Hg, z możliwością zmiany wartości bezpośrednio z poziomu jednego menu, bez stosowania skokowych poziomów, z prezentacją ciśnienia w czasie rzeczywistym w formie numerycznej i graficznej oraz z funkcją wczesnego ostrzegania o narastającym ciśnieniu przed osiągnięciem progu alarmowego.</w:t>
            </w:r>
          </w:p>
          <w:p w14:paraId="1DB9891E" w14:textId="77777777" w:rsidR="00925A3E" w:rsidRPr="004A63EE" w:rsidRDefault="00925A3E" w:rsidP="00417542">
            <w:pPr>
              <w:jc w:val="both"/>
              <w:rPr>
                <w:rFonts w:asciiTheme="majorHAnsi" w:hAnsiTheme="majorHAnsi" w:cstheme="majorHAnsi"/>
                <w:sz w:val="24"/>
              </w:rPr>
            </w:pPr>
          </w:p>
          <w:p w14:paraId="48D5EF21" w14:textId="77777777" w:rsidR="00662A0D" w:rsidRPr="004A63EE" w:rsidRDefault="00925A3E" w:rsidP="00417542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4A63EE">
              <w:rPr>
                <w:rFonts w:asciiTheme="majorHAnsi" w:hAnsiTheme="majorHAnsi" w:cstheme="majorHAnsi"/>
                <w:sz w:val="24"/>
              </w:rPr>
              <w:t>Równoważnie:</w:t>
            </w:r>
          </w:p>
          <w:p w14:paraId="205B1C36" w14:textId="2E98E74C" w:rsidR="00925A3E" w:rsidRPr="004A63EE" w:rsidRDefault="00662A0D" w:rsidP="00417542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4A63EE">
              <w:rPr>
                <w:rFonts w:asciiTheme="majorHAnsi" w:hAnsiTheme="majorHAnsi" w:cstheme="majorHAnsi"/>
                <w:sz w:val="24"/>
              </w:rPr>
              <w:lastRenderedPageBreak/>
              <w:t>Pompa posiada płynną regulację progu ciśnienia okluzji w jednostkach mm Hg w zakresie min. 50–750 mm Hg, z możliwością zmiany wartości bezpośrednio z poziomu jednego menu, bez stosowania skokowych poziomów, z prezentacją ciśnienia w czasie rzeczywistym w formie numerycznej i graficznej oraz z funkcją wczesnego ostrzegania o narastającym ciśnieniu przed osiągnięciem progu alarmowego.</w:t>
            </w:r>
            <w:r w:rsidR="00925A3E" w:rsidRPr="004A63EE">
              <w:rPr>
                <w:rFonts w:asciiTheme="majorHAnsi" w:hAnsiTheme="majorHAnsi" w:cstheme="majorHAnsi"/>
                <w:sz w:val="24"/>
              </w:rPr>
              <w:t xml:space="preserve"> </w:t>
            </w:r>
          </w:p>
        </w:tc>
        <w:tc>
          <w:tcPr>
            <w:tcW w:w="4252" w:type="dxa"/>
            <w:vAlign w:val="center"/>
          </w:tcPr>
          <w:p w14:paraId="62560088" w14:textId="07BB6078" w:rsidR="00E87124" w:rsidRPr="004A63EE" w:rsidRDefault="00E87124" w:rsidP="00142244">
            <w:pPr>
              <w:jc w:val="center"/>
              <w:rPr>
                <w:rFonts w:asciiTheme="majorHAnsi" w:hAnsiTheme="majorHAnsi" w:cstheme="majorHAnsi"/>
              </w:rPr>
            </w:pPr>
            <w:r w:rsidRPr="004A63EE">
              <w:rPr>
                <w:rFonts w:asciiTheme="majorHAnsi" w:hAnsiTheme="majorHAnsi" w:cstheme="majorHAnsi"/>
              </w:rPr>
              <w:lastRenderedPageBreak/>
              <w:t>TAK</w:t>
            </w:r>
          </w:p>
        </w:tc>
        <w:tc>
          <w:tcPr>
            <w:tcW w:w="4253" w:type="dxa"/>
            <w:vAlign w:val="center"/>
          </w:tcPr>
          <w:p w14:paraId="185F5519" w14:textId="77777777" w:rsidR="00E87124" w:rsidRPr="004A63EE" w:rsidRDefault="00E87124" w:rsidP="00417542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B92F3A" w:rsidRPr="004A63EE" w14:paraId="3BB0158E" w14:textId="77777777" w:rsidTr="00646E3A">
        <w:trPr>
          <w:trHeight w:val="274"/>
          <w:jc w:val="center"/>
        </w:trPr>
        <w:tc>
          <w:tcPr>
            <w:tcW w:w="664" w:type="dxa"/>
            <w:vAlign w:val="center"/>
          </w:tcPr>
          <w:p w14:paraId="2842E71C" w14:textId="5BA755BE" w:rsidR="00B92F3A" w:rsidRPr="004A63EE" w:rsidRDefault="00B92F3A" w:rsidP="00573380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60" w:type="dxa"/>
            <w:vAlign w:val="center"/>
          </w:tcPr>
          <w:p w14:paraId="70A02B76" w14:textId="3C56FFF0" w:rsidR="00B92F3A" w:rsidRPr="004A63EE" w:rsidRDefault="00B92F3A" w:rsidP="00B92F3A">
            <w:pPr>
              <w:spacing w:line="276" w:lineRule="auto"/>
              <w:jc w:val="both"/>
              <w:rPr>
                <w:rFonts w:asciiTheme="majorHAnsi" w:hAnsiTheme="majorHAnsi" w:cstheme="majorHAnsi"/>
                <w:sz w:val="24"/>
              </w:rPr>
            </w:pPr>
            <w:r w:rsidRPr="004A63EE">
              <w:rPr>
                <w:rFonts w:asciiTheme="majorHAnsi" w:hAnsiTheme="majorHAnsi" w:cstheme="majorHAnsi"/>
                <w:sz w:val="24"/>
              </w:rPr>
              <w:t>Możliwość przyszłej integracji z centralnym systemem monitorowania oraz monitorem pacjenta bez używania dodatkowych modułów integracyjnych.</w:t>
            </w:r>
          </w:p>
          <w:p w14:paraId="3D737E1A" w14:textId="5F5C3D15" w:rsidR="00B92F3A" w:rsidRPr="004A63EE" w:rsidRDefault="00B92F3A" w:rsidP="00B92F3A">
            <w:pPr>
              <w:spacing w:line="276" w:lineRule="auto"/>
              <w:jc w:val="both"/>
              <w:rPr>
                <w:rFonts w:asciiTheme="majorHAnsi" w:hAnsiTheme="majorHAnsi" w:cstheme="majorHAnsi"/>
                <w:sz w:val="24"/>
              </w:rPr>
            </w:pPr>
            <w:r w:rsidRPr="004A63EE">
              <w:rPr>
                <w:rFonts w:asciiTheme="majorHAnsi" w:hAnsiTheme="majorHAnsi" w:cstheme="majorHAnsi"/>
                <w:sz w:val="24"/>
              </w:rPr>
              <w:t>Po połączeniu z centralnym systemem monitorowania dostępne funkcje:</w:t>
            </w:r>
          </w:p>
          <w:p w14:paraId="12B98FED" w14:textId="77777777" w:rsidR="00B92F3A" w:rsidRPr="004A63EE" w:rsidRDefault="00B92F3A" w:rsidP="00B92F3A">
            <w:pPr>
              <w:spacing w:line="276" w:lineRule="auto"/>
              <w:jc w:val="both"/>
              <w:rPr>
                <w:rFonts w:asciiTheme="majorHAnsi" w:hAnsiTheme="majorHAnsi" w:cstheme="majorHAnsi"/>
                <w:sz w:val="24"/>
              </w:rPr>
            </w:pPr>
            <w:r w:rsidRPr="004A63EE">
              <w:rPr>
                <w:rFonts w:asciiTheme="majorHAnsi" w:hAnsiTheme="majorHAnsi" w:cstheme="majorHAnsi"/>
                <w:sz w:val="24"/>
              </w:rPr>
              <w:t>Przesyłanie do systemu CMS informacji o infuzji, alarmach oraz statusie urządzeń (np. akumulator, urządzenia sieciowe).</w:t>
            </w:r>
          </w:p>
          <w:p w14:paraId="73D340D3" w14:textId="77777777" w:rsidR="00B92F3A" w:rsidRPr="004A63EE" w:rsidRDefault="00B92F3A" w:rsidP="00B92F3A">
            <w:pPr>
              <w:spacing w:line="276" w:lineRule="auto"/>
              <w:jc w:val="both"/>
              <w:rPr>
                <w:rFonts w:asciiTheme="majorHAnsi" w:hAnsiTheme="majorHAnsi" w:cstheme="majorHAnsi"/>
                <w:sz w:val="24"/>
              </w:rPr>
            </w:pPr>
            <w:r w:rsidRPr="004A63EE">
              <w:rPr>
                <w:rFonts w:asciiTheme="majorHAnsi" w:hAnsiTheme="majorHAnsi" w:cstheme="majorHAnsi"/>
                <w:sz w:val="24"/>
              </w:rPr>
              <w:t>Synchronizacja informacji o pacjencie między pompą a systemem CMS.</w:t>
            </w:r>
          </w:p>
          <w:p w14:paraId="29A8D90B" w14:textId="0A6AD4AB" w:rsidR="00B92F3A" w:rsidRPr="004A63EE" w:rsidRDefault="00B92F3A" w:rsidP="00B92F3A">
            <w:pPr>
              <w:jc w:val="both"/>
              <w:rPr>
                <w:rFonts w:asciiTheme="majorHAnsi" w:hAnsiTheme="majorHAnsi" w:cstheme="majorHAnsi"/>
                <w:sz w:val="24"/>
              </w:rPr>
            </w:pPr>
            <w:r w:rsidRPr="004A63EE">
              <w:rPr>
                <w:rFonts w:asciiTheme="majorHAnsi" w:hAnsiTheme="majorHAnsi" w:cstheme="majorHAnsi"/>
                <w:sz w:val="24"/>
              </w:rPr>
              <w:t>Możliwość przyjęcia lub wypisania pacjenta w systemie CMS, z automatycznym przesyłaniem odpowiednich informacji do pompy.</w:t>
            </w:r>
          </w:p>
        </w:tc>
        <w:tc>
          <w:tcPr>
            <w:tcW w:w="4252" w:type="dxa"/>
            <w:vAlign w:val="center"/>
          </w:tcPr>
          <w:p w14:paraId="208A6B26" w14:textId="05390BA3" w:rsidR="00740971" w:rsidRPr="004A63EE" w:rsidRDefault="00B92F3A" w:rsidP="00740971">
            <w:pPr>
              <w:jc w:val="center"/>
              <w:rPr>
                <w:rFonts w:asciiTheme="majorHAnsi" w:hAnsiTheme="majorHAnsi" w:cstheme="majorHAnsi"/>
                <w:sz w:val="24"/>
              </w:rPr>
            </w:pPr>
            <w:r w:rsidRPr="004A63EE">
              <w:rPr>
                <w:rFonts w:asciiTheme="majorHAnsi" w:hAnsiTheme="majorHAnsi" w:cstheme="majorHAnsi"/>
                <w:sz w:val="24"/>
              </w:rPr>
              <w:t>TAK</w:t>
            </w:r>
          </w:p>
          <w:p w14:paraId="4D9B337E" w14:textId="411C3EC6" w:rsidR="00B92F3A" w:rsidRPr="004A63EE" w:rsidRDefault="00B92F3A" w:rsidP="00B92F3A">
            <w:pPr>
              <w:jc w:val="center"/>
              <w:rPr>
                <w:rFonts w:asciiTheme="majorHAnsi" w:hAnsiTheme="majorHAnsi" w:cstheme="majorHAnsi"/>
                <w:sz w:val="24"/>
              </w:rPr>
            </w:pPr>
          </w:p>
        </w:tc>
        <w:tc>
          <w:tcPr>
            <w:tcW w:w="4253" w:type="dxa"/>
            <w:vAlign w:val="center"/>
          </w:tcPr>
          <w:p w14:paraId="561340F7" w14:textId="77777777" w:rsidR="00B92F3A" w:rsidRPr="004A63EE" w:rsidRDefault="00B92F3A" w:rsidP="00417542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</w:tbl>
    <w:p w14:paraId="427CF792" w14:textId="77777777" w:rsidR="006A431E" w:rsidRPr="004A63EE" w:rsidRDefault="006A431E" w:rsidP="00841B6C">
      <w:pPr>
        <w:rPr>
          <w:rFonts w:asciiTheme="majorHAnsi" w:hAnsiTheme="majorHAnsi" w:cstheme="majorHAnsi"/>
        </w:rPr>
      </w:pPr>
    </w:p>
    <w:p w14:paraId="4F327EDE" w14:textId="77777777" w:rsidR="00141BD7" w:rsidRPr="004A63EE" w:rsidRDefault="00141BD7" w:rsidP="00841B6C">
      <w:pPr>
        <w:rPr>
          <w:rFonts w:asciiTheme="majorHAnsi" w:hAnsiTheme="majorHAnsi" w:cstheme="majorHAnsi"/>
        </w:rPr>
      </w:pPr>
    </w:p>
    <w:p w14:paraId="5F39FAE4" w14:textId="77777777" w:rsidR="00141BD7" w:rsidRPr="004A63EE" w:rsidRDefault="00141BD7" w:rsidP="00841B6C">
      <w:pPr>
        <w:rPr>
          <w:rFonts w:asciiTheme="majorHAnsi" w:hAnsiTheme="majorHAnsi" w:cstheme="majorHAnsi"/>
        </w:rPr>
      </w:pPr>
    </w:p>
    <w:p w14:paraId="4E5ADA6A" w14:textId="77777777" w:rsidR="00DD5A39" w:rsidRPr="004A63EE" w:rsidRDefault="00DD5A39" w:rsidP="00841B6C">
      <w:pPr>
        <w:rPr>
          <w:rFonts w:asciiTheme="majorHAnsi" w:hAnsiTheme="majorHAnsi" w:cstheme="majorHAnsi"/>
        </w:rPr>
      </w:pPr>
    </w:p>
    <w:tbl>
      <w:tblPr>
        <w:tblStyle w:val="Tabela-Siatka"/>
        <w:tblW w:w="14029" w:type="dxa"/>
        <w:jc w:val="center"/>
        <w:tblLook w:val="04A0" w:firstRow="1" w:lastRow="0" w:firstColumn="1" w:lastColumn="0" w:noHBand="0" w:noVBand="1"/>
      </w:tblPr>
      <w:tblGrid>
        <w:gridCol w:w="664"/>
        <w:gridCol w:w="4860"/>
        <w:gridCol w:w="4252"/>
        <w:gridCol w:w="4253"/>
      </w:tblGrid>
      <w:tr w:rsidR="004A63EE" w:rsidRPr="004A63EE" w14:paraId="766C46B4" w14:textId="77777777" w:rsidTr="000311E1">
        <w:trPr>
          <w:trHeight w:val="274"/>
          <w:jc w:val="center"/>
        </w:trPr>
        <w:tc>
          <w:tcPr>
            <w:tcW w:w="14029" w:type="dxa"/>
            <w:gridSpan w:val="4"/>
            <w:vAlign w:val="center"/>
          </w:tcPr>
          <w:p w14:paraId="34D55009" w14:textId="075C0CA6" w:rsidR="00D72DE1" w:rsidRPr="004A63EE" w:rsidRDefault="00573380" w:rsidP="00D72DE1">
            <w:pPr>
              <w:rPr>
                <w:rFonts w:asciiTheme="majorHAnsi" w:hAnsiTheme="majorHAnsi" w:cstheme="majorHAnsi"/>
                <w:b/>
                <w:bCs/>
              </w:rPr>
            </w:pPr>
            <w:r w:rsidRPr="004A63EE">
              <w:rPr>
                <w:rFonts w:asciiTheme="majorHAnsi" w:hAnsiTheme="majorHAnsi" w:cstheme="majorHAnsi"/>
                <w:b/>
                <w:bCs/>
              </w:rPr>
              <w:t>Pozostałe</w:t>
            </w:r>
          </w:p>
        </w:tc>
      </w:tr>
      <w:tr w:rsidR="004A63EE" w:rsidRPr="004A63EE" w14:paraId="4CA0AAE9" w14:textId="77777777" w:rsidTr="00F4657B">
        <w:trPr>
          <w:trHeight w:val="274"/>
          <w:jc w:val="center"/>
        </w:trPr>
        <w:tc>
          <w:tcPr>
            <w:tcW w:w="664" w:type="dxa"/>
            <w:vAlign w:val="center"/>
          </w:tcPr>
          <w:p w14:paraId="0B1DDD38" w14:textId="05F57D2B" w:rsidR="00D72DE1" w:rsidRPr="004A63EE" w:rsidRDefault="00D72DE1" w:rsidP="00573380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60" w:type="dxa"/>
            <w:vAlign w:val="center"/>
          </w:tcPr>
          <w:p w14:paraId="13BC76B4" w14:textId="0D8F434E" w:rsidR="00D72DE1" w:rsidRPr="004A63EE" w:rsidRDefault="005C0274" w:rsidP="00F4657B">
            <w:pPr>
              <w:jc w:val="both"/>
              <w:rPr>
                <w:rFonts w:asciiTheme="majorHAnsi" w:hAnsiTheme="majorHAnsi" w:cstheme="majorHAnsi"/>
              </w:rPr>
            </w:pPr>
            <w:r w:rsidRPr="004A63EE">
              <w:rPr>
                <w:rFonts w:asciiTheme="majorHAnsi" w:hAnsiTheme="majorHAnsi" w:cstheme="majorHAnsi"/>
              </w:rPr>
              <w:t>Czas reakcji serwisu (rozpoczęcia działań serwisowych po zgłoszeniu awarii)</w:t>
            </w:r>
          </w:p>
        </w:tc>
        <w:tc>
          <w:tcPr>
            <w:tcW w:w="4252" w:type="dxa"/>
            <w:vAlign w:val="center"/>
          </w:tcPr>
          <w:p w14:paraId="40228433" w14:textId="64118AD6" w:rsidR="005C0274" w:rsidRPr="004A63EE" w:rsidRDefault="005C0274" w:rsidP="00573380">
            <w:pPr>
              <w:jc w:val="center"/>
              <w:rPr>
                <w:rFonts w:asciiTheme="majorHAnsi" w:hAnsiTheme="majorHAnsi" w:cstheme="majorHAnsi"/>
              </w:rPr>
            </w:pPr>
            <w:r w:rsidRPr="004A63EE">
              <w:rPr>
                <w:rFonts w:asciiTheme="majorHAnsi" w:hAnsiTheme="majorHAnsi" w:cstheme="majorHAnsi"/>
              </w:rPr>
              <w:t>Nie dłuższy niż 48 godzin w dni robocze (należy podać oferowany czas reakcji)</w:t>
            </w:r>
          </w:p>
        </w:tc>
        <w:tc>
          <w:tcPr>
            <w:tcW w:w="4253" w:type="dxa"/>
            <w:vAlign w:val="center"/>
          </w:tcPr>
          <w:p w14:paraId="073663D6" w14:textId="77777777" w:rsidR="00D72DE1" w:rsidRPr="004A63EE" w:rsidRDefault="00D72DE1" w:rsidP="00F4657B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D72DE1" w:rsidRPr="004A63EE" w14:paraId="656DFA33" w14:textId="77777777" w:rsidTr="00F4657B">
        <w:trPr>
          <w:trHeight w:val="274"/>
          <w:jc w:val="center"/>
        </w:trPr>
        <w:tc>
          <w:tcPr>
            <w:tcW w:w="664" w:type="dxa"/>
            <w:vAlign w:val="center"/>
          </w:tcPr>
          <w:p w14:paraId="2A2CF576" w14:textId="35CF93A4" w:rsidR="00D72DE1" w:rsidRPr="004A63EE" w:rsidRDefault="00D72DE1" w:rsidP="00573380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60" w:type="dxa"/>
            <w:vAlign w:val="center"/>
          </w:tcPr>
          <w:p w14:paraId="19D1860A" w14:textId="1685B2C7" w:rsidR="00D72DE1" w:rsidRPr="004A63EE" w:rsidRDefault="005C0274" w:rsidP="00F4657B">
            <w:pPr>
              <w:jc w:val="both"/>
              <w:rPr>
                <w:rFonts w:asciiTheme="majorHAnsi" w:hAnsiTheme="majorHAnsi" w:cstheme="majorHAnsi"/>
              </w:rPr>
            </w:pPr>
            <w:r w:rsidRPr="004A63EE">
              <w:rPr>
                <w:rFonts w:asciiTheme="majorHAnsi" w:hAnsiTheme="majorHAnsi" w:cstheme="majorHAnsi"/>
              </w:rPr>
              <w:t>W ramach udzielonej gwarancji, Wykonawca zobowiązany jest do wykonania, na własny koszt, wszystkich przeglądów technicznych, konserwacji, kalibracji i innych czynności serwisowych, które są wymagane i przewidziane przez producenta w okresie na jaki udzielana jest gwarancja. Wykonanie tych czynności musi być zgodne z dokumentacją techniczną i zaleceniami producenta</w:t>
            </w:r>
          </w:p>
        </w:tc>
        <w:tc>
          <w:tcPr>
            <w:tcW w:w="4252" w:type="dxa"/>
            <w:vAlign w:val="center"/>
          </w:tcPr>
          <w:p w14:paraId="160FDCC4" w14:textId="1E044B23" w:rsidR="00D72DE1" w:rsidRPr="004A63EE" w:rsidRDefault="005C0274" w:rsidP="00F4657B">
            <w:pPr>
              <w:jc w:val="center"/>
              <w:rPr>
                <w:rFonts w:asciiTheme="majorHAnsi" w:hAnsiTheme="majorHAnsi" w:cstheme="majorHAnsi"/>
              </w:rPr>
            </w:pPr>
            <w:r w:rsidRPr="004A63EE">
              <w:rPr>
                <w:rFonts w:asciiTheme="majorHAnsi" w:hAnsiTheme="majorHAnsi" w:cstheme="majorHAnsi"/>
              </w:rPr>
              <w:t>TAK</w:t>
            </w:r>
          </w:p>
        </w:tc>
        <w:tc>
          <w:tcPr>
            <w:tcW w:w="4253" w:type="dxa"/>
            <w:vAlign w:val="center"/>
          </w:tcPr>
          <w:p w14:paraId="79950857" w14:textId="77777777" w:rsidR="00D72DE1" w:rsidRPr="004A63EE" w:rsidRDefault="00D72DE1" w:rsidP="00F4657B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</w:tbl>
    <w:p w14:paraId="0E79E954" w14:textId="77777777" w:rsidR="00B3077D" w:rsidRPr="004A63EE" w:rsidRDefault="00B3077D" w:rsidP="00841B6C">
      <w:pPr>
        <w:pStyle w:val="Normalny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</w:rPr>
      </w:pPr>
    </w:p>
    <w:sectPr w:rsidR="00B3077D" w:rsidRPr="004A63EE" w:rsidSect="00D827A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A9A5F" w14:textId="77777777" w:rsidR="00E678E6" w:rsidRDefault="00E678E6" w:rsidP="00655CBD">
      <w:r>
        <w:separator/>
      </w:r>
    </w:p>
  </w:endnote>
  <w:endnote w:type="continuationSeparator" w:id="0">
    <w:p w14:paraId="52141F9B" w14:textId="77777777" w:rsidR="00E678E6" w:rsidRDefault="00E678E6" w:rsidP="00655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A9C05" w14:textId="77777777" w:rsidR="00573380" w:rsidRDefault="0057338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HAnsi"/>
        <w:lang w:val="pl-PL"/>
      </w:rPr>
      <w:id w:val="730046664"/>
      <w:docPartObj>
        <w:docPartGallery w:val="Page Numbers (Bottom of Page)"/>
        <w:docPartUnique/>
      </w:docPartObj>
    </w:sdtPr>
    <w:sdtEndPr>
      <w:rPr>
        <w:lang w:val="x-none"/>
      </w:rPr>
    </w:sdtEndPr>
    <w:sdtContent>
      <w:p w14:paraId="0DB76789" w14:textId="77777777" w:rsidR="005D5182" w:rsidRPr="00FC50E6" w:rsidRDefault="005D5182">
        <w:pPr>
          <w:pStyle w:val="Stopka"/>
          <w:jc w:val="right"/>
          <w:rPr>
            <w:rFonts w:asciiTheme="majorHAnsi" w:eastAsiaTheme="majorEastAsia" w:hAnsiTheme="majorHAnsi" w:cstheme="majorHAnsi"/>
          </w:rPr>
        </w:pPr>
        <w:r w:rsidRPr="00FC50E6">
          <w:rPr>
            <w:rFonts w:asciiTheme="majorHAnsi" w:eastAsiaTheme="majorEastAsia" w:hAnsiTheme="majorHAnsi" w:cstheme="majorHAnsi"/>
            <w:lang w:val="pl-PL"/>
          </w:rPr>
          <w:t xml:space="preserve">str. </w:t>
        </w:r>
        <w:r w:rsidRPr="00FC50E6">
          <w:rPr>
            <w:rFonts w:asciiTheme="majorHAnsi" w:eastAsiaTheme="minorEastAsia" w:hAnsiTheme="majorHAnsi" w:cstheme="majorHAnsi"/>
          </w:rPr>
          <w:fldChar w:fldCharType="begin"/>
        </w:r>
        <w:r w:rsidRPr="00FC50E6">
          <w:rPr>
            <w:rFonts w:asciiTheme="majorHAnsi" w:hAnsiTheme="majorHAnsi" w:cstheme="majorHAnsi"/>
          </w:rPr>
          <w:instrText>PAGE    \* MERGEFORMAT</w:instrText>
        </w:r>
        <w:r w:rsidRPr="00FC50E6">
          <w:rPr>
            <w:rFonts w:asciiTheme="majorHAnsi" w:eastAsiaTheme="minorEastAsia" w:hAnsiTheme="majorHAnsi" w:cstheme="majorHAnsi"/>
          </w:rPr>
          <w:fldChar w:fldCharType="separate"/>
        </w:r>
        <w:r w:rsidR="00DD5A39" w:rsidRPr="00DD5A39">
          <w:rPr>
            <w:rFonts w:asciiTheme="majorHAnsi" w:eastAsiaTheme="majorEastAsia" w:hAnsiTheme="majorHAnsi" w:cstheme="majorHAnsi"/>
            <w:noProof/>
            <w:lang w:val="pl-PL"/>
          </w:rPr>
          <w:t>2</w:t>
        </w:r>
        <w:r w:rsidRPr="00FC50E6">
          <w:rPr>
            <w:rFonts w:asciiTheme="majorHAnsi" w:eastAsiaTheme="majorEastAsia" w:hAnsiTheme="majorHAnsi" w:cstheme="majorHAnsi"/>
          </w:rPr>
          <w:fldChar w:fldCharType="end"/>
        </w:r>
      </w:p>
    </w:sdtContent>
  </w:sdt>
  <w:p w14:paraId="500BBCDF" w14:textId="77777777" w:rsidR="005D5182" w:rsidRDefault="005D518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1A506" w14:textId="77777777" w:rsidR="00573380" w:rsidRDefault="005733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0BEAA" w14:textId="77777777" w:rsidR="00E678E6" w:rsidRDefault="00E678E6" w:rsidP="00655CBD">
      <w:r>
        <w:separator/>
      </w:r>
    </w:p>
  </w:footnote>
  <w:footnote w:type="continuationSeparator" w:id="0">
    <w:p w14:paraId="477B5CE7" w14:textId="77777777" w:rsidR="00E678E6" w:rsidRDefault="00E678E6" w:rsidP="00655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694DD" w14:textId="77777777" w:rsidR="00573380" w:rsidRDefault="0057338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0457E" w14:textId="77777777" w:rsidR="00573380" w:rsidRDefault="0057338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88252" w14:textId="30863B1A" w:rsidR="00D827AC" w:rsidRDefault="00573380" w:rsidP="00D827AC">
    <w:pPr>
      <w:jc w:val="both"/>
    </w:pPr>
    <w:r>
      <w:rPr>
        <w:noProof/>
      </w:rPr>
      <w:drawing>
        <wp:inline distT="0" distB="0" distL="0" distR="0" wp14:anchorId="28963268" wp14:editId="25189115">
          <wp:extent cx="5759450" cy="575310"/>
          <wp:effectExtent l="0" t="0" r="0" b="0"/>
          <wp:docPr id="702494025" name="Obraz 2" descr="The image displays a series of logos representing the Polish Ministry of Health and the European Union's Next Generation EU program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 descr="The image displays a series of logos representing the Polish Ministry of Health and the European Union's Next Generation EU program.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Nagwek3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</w:abstractNum>
  <w:abstractNum w:abstractNumId="3" w15:restartNumberingAfterBreak="0">
    <w:nsid w:val="05280C1D"/>
    <w:multiLevelType w:val="hybridMultilevel"/>
    <w:tmpl w:val="4502AB82"/>
    <w:lvl w:ilvl="0" w:tplc="3D708146">
      <w:start w:val="1"/>
      <w:numFmt w:val="decimal"/>
      <w:lvlText w:val="%1."/>
      <w:lvlJc w:val="left"/>
      <w:pPr>
        <w:ind w:left="715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717F7A"/>
    <w:multiLevelType w:val="hybridMultilevel"/>
    <w:tmpl w:val="57B888FA"/>
    <w:lvl w:ilvl="0" w:tplc="839A4CD8">
      <w:start w:val="1"/>
      <w:numFmt w:val="decimal"/>
      <w:lvlText w:val="%1."/>
      <w:lvlJc w:val="left"/>
      <w:pPr>
        <w:ind w:left="715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2672D2"/>
    <w:multiLevelType w:val="hybridMultilevel"/>
    <w:tmpl w:val="76BA4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E4326"/>
    <w:multiLevelType w:val="hybridMultilevel"/>
    <w:tmpl w:val="76BA4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AF3871"/>
    <w:multiLevelType w:val="hybridMultilevel"/>
    <w:tmpl w:val="B49A00E6"/>
    <w:lvl w:ilvl="0" w:tplc="37FC4F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C2483F"/>
    <w:multiLevelType w:val="hybridMultilevel"/>
    <w:tmpl w:val="CFC2049A"/>
    <w:lvl w:ilvl="0" w:tplc="0415000F">
      <w:start w:val="1"/>
      <w:numFmt w:val="decimal"/>
      <w:lvlText w:val="%1."/>
      <w:lvlJc w:val="left"/>
      <w:pPr>
        <w:ind w:left="1075" w:hanging="360"/>
      </w:pPr>
    </w:lvl>
    <w:lvl w:ilvl="1" w:tplc="04150019" w:tentative="1">
      <w:start w:val="1"/>
      <w:numFmt w:val="lowerLetter"/>
      <w:lvlText w:val="%2."/>
      <w:lvlJc w:val="left"/>
      <w:pPr>
        <w:ind w:left="1795" w:hanging="360"/>
      </w:pPr>
    </w:lvl>
    <w:lvl w:ilvl="2" w:tplc="0415001B" w:tentative="1">
      <w:start w:val="1"/>
      <w:numFmt w:val="lowerRoman"/>
      <w:lvlText w:val="%3."/>
      <w:lvlJc w:val="right"/>
      <w:pPr>
        <w:ind w:left="2515" w:hanging="180"/>
      </w:pPr>
    </w:lvl>
    <w:lvl w:ilvl="3" w:tplc="0415000F" w:tentative="1">
      <w:start w:val="1"/>
      <w:numFmt w:val="decimal"/>
      <w:lvlText w:val="%4."/>
      <w:lvlJc w:val="left"/>
      <w:pPr>
        <w:ind w:left="3235" w:hanging="360"/>
      </w:pPr>
    </w:lvl>
    <w:lvl w:ilvl="4" w:tplc="04150019" w:tentative="1">
      <w:start w:val="1"/>
      <w:numFmt w:val="lowerLetter"/>
      <w:lvlText w:val="%5."/>
      <w:lvlJc w:val="left"/>
      <w:pPr>
        <w:ind w:left="3955" w:hanging="360"/>
      </w:pPr>
    </w:lvl>
    <w:lvl w:ilvl="5" w:tplc="0415001B" w:tentative="1">
      <w:start w:val="1"/>
      <w:numFmt w:val="lowerRoman"/>
      <w:lvlText w:val="%6."/>
      <w:lvlJc w:val="right"/>
      <w:pPr>
        <w:ind w:left="4675" w:hanging="180"/>
      </w:pPr>
    </w:lvl>
    <w:lvl w:ilvl="6" w:tplc="0415000F" w:tentative="1">
      <w:start w:val="1"/>
      <w:numFmt w:val="decimal"/>
      <w:lvlText w:val="%7."/>
      <w:lvlJc w:val="left"/>
      <w:pPr>
        <w:ind w:left="5395" w:hanging="360"/>
      </w:pPr>
    </w:lvl>
    <w:lvl w:ilvl="7" w:tplc="04150019" w:tentative="1">
      <w:start w:val="1"/>
      <w:numFmt w:val="lowerLetter"/>
      <w:lvlText w:val="%8."/>
      <w:lvlJc w:val="left"/>
      <w:pPr>
        <w:ind w:left="6115" w:hanging="360"/>
      </w:pPr>
    </w:lvl>
    <w:lvl w:ilvl="8" w:tplc="0415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9" w15:restartNumberingAfterBreak="0">
    <w:nsid w:val="314725E6"/>
    <w:multiLevelType w:val="hybridMultilevel"/>
    <w:tmpl w:val="E842D3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496F57"/>
    <w:multiLevelType w:val="hybridMultilevel"/>
    <w:tmpl w:val="4502AB82"/>
    <w:lvl w:ilvl="0" w:tplc="3D708146">
      <w:start w:val="1"/>
      <w:numFmt w:val="decimal"/>
      <w:lvlText w:val="%1."/>
      <w:lvlJc w:val="left"/>
      <w:pPr>
        <w:ind w:left="715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686899"/>
    <w:multiLevelType w:val="hybridMultilevel"/>
    <w:tmpl w:val="0DBE7B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1B7998"/>
    <w:multiLevelType w:val="hybridMultilevel"/>
    <w:tmpl w:val="295AE8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C7740F7"/>
    <w:multiLevelType w:val="hybridMultilevel"/>
    <w:tmpl w:val="8B7A29C0"/>
    <w:lvl w:ilvl="0" w:tplc="42D8E83A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4" w15:restartNumberingAfterBreak="0">
    <w:nsid w:val="4CDB3A67"/>
    <w:multiLevelType w:val="hybridMultilevel"/>
    <w:tmpl w:val="9B7ECE4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623F49"/>
    <w:multiLevelType w:val="hybridMultilevel"/>
    <w:tmpl w:val="20909728"/>
    <w:lvl w:ilvl="0" w:tplc="0415000F">
      <w:start w:val="1"/>
      <w:numFmt w:val="decimal"/>
      <w:lvlText w:val="%1."/>
      <w:lvlJc w:val="left"/>
      <w:pPr>
        <w:ind w:left="1075" w:hanging="360"/>
      </w:pPr>
    </w:lvl>
    <w:lvl w:ilvl="1" w:tplc="04150019" w:tentative="1">
      <w:start w:val="1"/>
      <w:numFmt w:val="lowerLetter"/>
      <w:lvlText w:val="%2."/>
      <w:lvlJc w:val="left"/>
      <w:pPr>
        <w:ind w:left="1795" w:hanging="360"/>
      </w:pPr>
    </w:lvl>
    <w:lvl w:ilvl="2" w:tplc="0415001B" w:tentative="1">
      <w:start w:val="1"/>
      <w:numFmt w:val="lowerRoman"/>
      <w:lvlText w:val="%3."/>
      <w:lvlJc w:val="right"/>
      <w:pPr>
        <w:ind w:left="2515" w:hanging="180"/>
      </w:pPr>
    </w:lvl>
    <w:lvl w:ilvl="3" w:tplc="0415000F" w:tentative="1">
      <w:start w:val="1"/>
      <w:numFmt w:val="decimal"/>
      <w:lvlText w:val="%4."/>
      <w:lvlJc w:val="left"/>
      <w:pPr>
        <w:ind w:left="3235" w:hanging="360"/>
      </w:pPr>
    </w:lvl>
    <w:lvl w:ilvl="4" w:tplc="04150019" w:tentative="1">
      <w:start w:val="1"/>
      <w:numFmt w:val="lowerLetter"/>
      <w:lvlText w:val="%5."/>
      <w:lvlJc w:val="left"/>
      <w:pPr>
        <w:ind w:left="3955" w:hanging="360"/>
      </w:pPr>
    </w:lvl>
    <w:lvl w:ilvl="5" w:tplc="0415001B" w:tentative="1">
      <w:start w:val="1"/>
      <w:numFmt w:val="lowerRoman"/>
      <w:lvlText w:val="%6."/>
      <w:lvlJc w:val="right"/>
      <w:pPr>
        <w:ind w:left="4675" w:hanging="180"/>
      </w:pPr>
    </w:lvl>
    <w:lvl w:ilvl="6" w:tplc="0415000F" w:tentative="1">
      <w:start w:val="1"/>
      <w:numFmt w:val="decimal"/>
      <w:lvlText w:val="%7."/>
      <w:lvlJc w:val="left"/>
      <w:pPr>
        <w:ind w:left="5395" w:hanging="360"/>
      </w:pPr>
    </w:lvl>
    <w:lvl w:ilvl="7" w:tplc="04150019" w:tentative="1">
      <w:start w:val="1"/>
      <w:numFmt w:val="lowerLetter"/>
      <w:lvlText w:val="%8."/>
      <w:lvlJc w:val="left"/>
      <w:pPr>
        <w:ind w:left="6115" w:hanging="360"/>
      </w:pPr>
    </w:lvl>
    <w:lvl w:ilvl="8" w:tplc="0415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16" w15:restartNumberingAfterBreak="0">
    <w:nsid w:val="545040CC"/>
    <w:multiLevelType w:val="hybridMultilevel"/>
    <w:tmpl w:val="1AEC5312"/>
    <w:lvl w:ilvl="0" w:tplc="708C4054">
      <w:start w:val="1"/>
      <w:numFmt w:val="decimal"/>
      <w:lvlText w:val="%1."/>
      <w:lvlJc w:val="left"/>
      <w:pPr>
        <w:ind w:left="715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ED3AE9"/>
    <w:multiLevelType w:val="hybridMultilevel"/>
    <w:tmpl w:val="5B566618"/>
    <w:lvl w:ilvl="0" w:tplc="3C10C438">
      <w:start w:val="1"/>
      <w:numFmt w:val="decimal"/>
      <w:lvlText w:val="%1."/>
      <w:lvlJc w:val="left"/>
      <w:pPr>
        <w:ind w:left="715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ED6892"/>
    <w:multiLevelType w:val="hybridMultilevel"/>
    <w:tmpl w:val="CE701B7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F4189C"/>
    <w:multiLevelType w:val="hybridMultilevel"/>
    <w:tmpl w:val="BAD895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8F53C5"/>
    <w:multiLevelType w:val="hybridMultilevel"/>
    <w:tmpl w:val="505E9E2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56006A"/>
    <w:multiLevelType w:val="hybridMultilevel"/>
    <w:tmpl w:val="5B566618"/>
    <w:lvl w:ilvl="0" w:tplc="3C10C438">
      <w:start w:val="1"/>
      <w:numFmt w:val="decimal"/>
      <w:lvlText w:val="%1."/>
      <w:lvlJc w:val="left"/>
      <w:pPr>
        <w:ind w:left="715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435877">
    <w:abstractNumId w:val="2"/>
  </w:num>
  <w:num w:numId="2" w16cid:durableId="1347570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7371098">
    <w:abstractNumId w:val="21"/>
  </w:num>
  <w:num w:numId="4" w16cid:durableId="1241674174">
    <w:abstractNumId w:val="9"/>
  </w:num>
  <w:num w:numId="5" w16cid:durableId="1408959481">
    <w:abstractNumId w:val="3"/>
  </w:num>
  <w:num w:numId="6" w16cid:durableId="134614953">
    <w:abstractNumId w:val="16"/>
  </w:num>
  <w:num w:numId="7" w16cid:durableId="1159997613">
    <w:abstractNumId w:val="4"/>
  </w:num>
  <w:num w:numId="8" w16cid:durableId="285551449">
    <w:abstractNumId w:val="17"/>
  </w:num>
  <w:num w:numId="9" w16cid:durableId="1906640541">
    <w:abstractNumId w:val="7"/>
  </w:num>
  <w:num w:numId="10" w16cid:durableId="697387419">
    <w:abstractNumId w:val="20"/>
  </w:num>
  <w:num w:numId="11" w16cid:durableId="698631529">
    <w:abstractNumId w:val="19"/>
  </w:num>
  <w:num w:numId="12" w16cid:durableId="2052223779">
    <w:abstractNumId w:val="14"/>
  </w:num>
  <w:num w:numId="13" w16cid:durableId="1485973150">
    <w:abstractNumId w:val="18"/>
  </w:num>
  <w:num w:numId="14" w16cid:durableId="1990549973">
    <w:abstractNumId w:val="11"/>
  </w:num>
  <w:num w:numId="15" w16cid:durableId="263076319">
    <w:abstractNumId w:val="13"/>
  </w:num>
  <w:num w:numId="16" w16cid:durableId="493959183">
    <w:abstractNumId w:val="10"/>
  </w:num>
  <w:num w:numId="17" w16cid:durableId="1707216109">
    <w:abstractNumId w:val="8"/>
  </w:num>
  <w:num w:numId="18" w16cid:durableId="1045830503">
    <w:abstractNumId w:val="15"/>
  </w:num>
  <w:num w:numId="19" w16cid:durableId="948003846">
    <w:abstractNumId w:val="5"/>
  </w:num>
  <w:num w:numId="20" w16cid:durableId="1429616280">
    <w:abstractNumId w:val="6"/>
  </w:num>
  <w:num w:numId="21" w16cid:durableId="1450054644">
    <w:abstractNumId w:val="1"/>
  </w:num>
  <w:num w:numId="22" w16cid:durableId="585773717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0406"/>
    <w:rsid w:val="00003ACE"/>
    <w:rsid w:val="000040B6"/>
    <w:rsid w:val="00017B70"/>
    <w:rsid w:val="00026CC0"/>
    <w:rsid w:val="000524A6"/>
    <w:rsid w:val="00053E85"/>
    <w:rsid w:val="00054D2A"/>
    <w:rsid w:val="00064801"/>
    <w:rsid w:val="000649B2"/>
    <w:rsid w:val="000750A4"/>
    <w:rsid w:val="000864C2"/>
    <w:rsid w:val="00092BF7"/>
    <w:rsid w:val="000A46F0"/>
    <w:rsid w:val="000A4A94"/>
    <w:rsid w:val="000A4D8D"/>
    <w:rsid w:val="000A6DA6"/>
    <w:rsid w:val="000B3348"/>
    <w:rsid w:val="000E0E18"/>
    <w:rsid w:val="000E11E6"/>
    <w:rsid w:val="000E41AA"/>
    <w:rsid w:val="000E43B2"/>
    <w:rsid w:val="000F0406"/>
    <w:rsid w:val="000F6EFE"/>
    <w:rsid w:val="00106DEE"/>
    <w:rsid w:val="00122376"/>
    <w:rsid w:val="0012562D"/>
    <w:rsid w:val="0013066A"/>
    <w:rsid w:val="0014005B"/>
    <w:rsid w:val="00141BD7"/>
    <w:rsid w:val="00142244"/>
    <w:rsid w:val="00151A77"/>
    <w:rsid w:val="00152775"/>
    <w:rsid w:val="00152864"/>
    <w:rsid w:val="00160470"/>
    <w:rsid w:val="0016462A"/>
    <w:rsid w:val="00172F66"/>
    <w:rsid w:val="00191095"/>
    <w:rsid w:val="00195192"/>
    <w:rsid w:val="001A71AB"/>
    <w:rsid w:val="001B1360"/>
    <w:rsid w:val="001D1833"/>
    <w:rsid w:val="001D45E0"/>
    <w:rsid w:val="001D53CA"/>
    <w:rsid w:val="001D5870"/>
    <w:rsid w:val="001E01E9"/>
    <w:rsid w:val="001F368B"/>
    <w:rsid w:val="001F480C"/>
    <w:rsid w:val="001F59FC"/>
    <w:rsid w:val="00210608"/>
    <w:rsid w:val="00214E69"/>
    <w:rsid w:val="002173BD"/>
    <w:rsid w:val="0022269D"/>
    <w:rsid w:val="002276DB"/>
    <w:rsid w:val="00230183"/>
    <w:rsid w:val="00235617"/>
    <w:rsid w:val="00237D2E"/>
    <w:rsid w:val="002464FC"/>
    <w:rsid w:val="00246EE0"/>
    <w:rsid w:val="00250480"/>
    <w:rsid w:val="00253B0C"/>
    <w:rsid w:val="00254800"/>
    <w:rsid w:val="002607AE"/>
    <w:rsid w:val="002850E5"/>
    <w:rsid w:val="0029009B"/>
    <w:rsid w:val="0029123B"/>
    <w:rsid w:val="002966D1"/>
    <w:rsid w:val="00296E00"/>
    <w:rsid w:val="002A4C44"/>
    <w:rsid w:val="002B3D9F"/>
    <w:rsid w:val="002D0A32"/>
    <w:rsid w:val="002D5008"/>
    <w:rsid w:val="002D5A4F"/>
    <w:rsid w:val="002E2D31"/>
    <w:rsid w:val="002E612A"/>
    <w:rsid w:val="002E72CF"/>
    <w:rsid w:val="002F1BA8"/>
    <w:rsid w:val="002F3C77"/>
    <w:rsid w:val="003007FB"/>
    <w:rsid w:val="00311031"/>
    <w:rsid w:val="00316610"/>
    <w:rsid w:val="0031748E"/>
    <w:rsid w:val="0032099B"/>
    <w:rsid w:val="0033367F"/>
    <w:rsid w:val="00345D12"/>
    <w:rsid w:val="003503B1"/>
    <w:rsid w:val="00372B5E"/>
    <w:rsid w:val="00373207"/>
    <w:rsid w:val="00381A34"/>
    <w:rsid w:val="00382C28"/>
    <w:rsid w:val="003839CD"/>
    <w:rsid w:val="00385CFD"/>
    <w:rsid w:val="003940DF"/>
    <w:rsid w:val="003B24DA"/>
    <w:rsid w:val="003B32C2"/>
    <w:rsid w:val="003B5444"/>
    <w:rsid w:val="003D03AD"/>
    <w:rsid w:val="003D3A2A"/>
    <w:rsid w:val="003D698A"/>
    <w:rsid w:val="003E1107"/>
    <w:rsid w:val="003E24F3"/>
    <w:rsid w:val="003E38BA"/>
    <w:rsid w:val="003E5E84"/>
    <w:rsid w:val="003E6AA9"/>
    <w:rsid w:val="003F0F21"/>
    <w:rsid w:val="003F2E6D"/>
    <w:rsid w:val="003F3536"/>
    <w:rsid w:val="003F5301"/>
    <w:rsid w:val="00403DF0"/>
    <w:rsid w:val="004059C6"/>
    <w:rsid w:val="00417542"/>
    <w:rsid w:val="00425E9D"/>
    <w:rsid w:val="00426D22"/>
    <w:rsid w:val="00430D02"/>
    <w:rsid w:val="004400A6"/>
    <w:rsid w:val="00440FC1"/>
    <w:rsid w:val="00470E6D"/>
    <w:rsid w:val="00474966"/>
    <w:rsid w:val="00484F0D"/>
    <w:rsid w:val="004950D0"/>
    <w:rsid w:val="004A4072"/>
    <w:rsid w:val="004A63EE"/>
    <w:rsid w:val="004A6F68"/>
    <w:rsid w:val="004B0D39"/>
    <w:rsid w:val="004B1521"/>
    <w:rsid w:val="004B2F4C"/>
    <w:rsid w:val="004C4575"/>
    <w:rsid w:val="004C48AC"/>
    <w:rsid w:val="004C5586"/>
    <w:rsid w:val="004C5C73"/>
    <w:rsid w:val="004D3793"/>
    <w:rsid w:val="004D456E"/>
    <w:rsid w:val="004D574B"/>
    <w:rsid w:val="004E0CE5"/>
    <w:rsid w:val="004E268D"/>
    <w:rsid w:val="004E27D5"/>
    <w:rsid w:val="004E27D9"/>
    <w:rsid w:val="004E4FF5"/>
    <w:rsid w:val="005000B1"/>
    <w:rsid w:val="00504FB1"/>
    <w:rsid w:val="005072D8"/>
    <w:rsid w:val="00510CBE"/>
    <w:rsid w:val="00523166"/>
    <w:rsid w:val="00524D86"/>
    <w:rsid w:val="00537323"/>
    <w:rsid w:val="00540786"/>
    <w:rsid w:val="00542586"/>
    <w:rsid w:val="00545D5E"/>
    <w:rsid w:val="0056069C"/>
    <w:rsid w:val="00573380"/>
    <w:rsid w:val="005738E7"/>
    <w:rsid w:val="005756FB"/>
    <w:rsid w:val="00580D63"/>
    <w:rsid w:val="00581E87"/>
    <w:rsid w:val="00593A92"/>
    <w:rsid w:val="00596C6A"/>
    <w:rsid w:val="005A315B"/>
    <w:rsid w:val="005C0274"/>
    <w:rsid w:val="005C7247"/>
    <w:rsid w:val="005D166B"/>
    <w:rsid w:val="005D5182"/>
    <w:rsid w:val="005D74AC"/>
    <w:rsid w:val="005E1DF1"/>
    <w:rsid w:val="005F6FE1"/>
    <w:rsid w:val="00610A57"/>
    <w:rsid w:val="006150CD"/>
    <w:rsid w:val="00617379"/>
    <w:rsid w:val="0063020C"/>
    <w:rsid w:val="0063118A"/>
    <w:rsid w:val="00636428"/>
    <w:rsid w:val="00645B94"/>
    <w:rsid w:val="00646E3A"/>
    <w:rsid w:val="00655CBD"/>
    <w:rsid w:val="00662A0D"/>
    <w:rsid w:val="00664EE2"/>
    <w:rsid w:val="00665271"/>
    <w:rsid w:val="00667CBD"/>
    <w:rsid w:val="0067137A"/>
    <w:rsid w:val="00682EAD"/>
    <w:rsid w:val="006955B2"/>
    <w:rsid w:val="006A10C3"/>
    <w:rsid w:val="006A3A0D"/>
    <w:rsid w:val="006A3A62"/>
    <w:rsid w:val="006A4264"/>
    <w:rsid w:val="006A431E"/>
    <w:rsid w:val="006A7649"/>
    <w:rsid w:val="006B150B"/>
    <w:rsid w:val="006B1A52"/>
    <w:rsid w:val="006B3532"/>
    <w:rsid w:val="006B4C07"/>
    <w:rsid w:val="006B5684"/>
    <w:rsid w:val="006C470E"/>
    <w:rsid w:val="006D4D34"/>
    <w:rsid w:val="006E497A"/>
    <w:rsid w:val="006F084C"/>
    <w:rsid w:val="006F1D61"/>
    <w:rsid w:val="006F2ADE"/>
    <w:rsid w:val="007020BB"/>
    <w:rsid w:val="00702DBB"/>
    <w:rsid w:val="007035D3"/>
    <w:rsid w:val="0070625D"/>
    <w:rsid w:val="00710C86"/>
    <w:rsid w:val="00711674"/>
    <w:rsid w:val="00720A5B"/>
    <w:rsid w:val="00724664"/>
    <w:rsid w:val="00740971"/>
    <w:rsid w:val="007409BA"/>
    <w:rsid w:val="00741275"/>
    <w:rsid w:val="0074555E"/>
    <w:rsid w:val="007640DC"/>
    <w:rsid w:val="00764889"/>
    <w:rsid w:val="0077053E"/>
    <w:rsid w:val="007921FC"/>
    <w:rsid w:val="007B12B3"/>
    <w:rsid w:val="007C0526"/>
    <w:rsid w:val="007C3EB3"/>
    <w:rsid w:val="007D2F41"/>
    <w:rsid w:val="007D589F"/>
    <w:rsid w:val="007F4CBE"/>
    <w:rsid w:val="00805EBD"/>
    <w:rsid w:val="00806FBC"/>
    <w:rsid w:val="00814367"/>
    <w:rsid w:val="00814BEA"/>
    <w:rsid w:val="00824155"/>
    <w:rsid w:val="0082443F"/>
    <w:rsid w:val="00841365"/>
    <w:rsid w:val="00841B6C"/>
    <w:rsid w:val="00843963"/>
    <w:rsid w:val="00854CCE"/>
    <w:rsid w:val="008600A6"/>
    <w:rsid w:val="00862083"/>
    <w:rsid w:val="008710F1"/>
    <w:rsid w:val="0087449E"/>
    <w:rsid w:val="00875CE3"/>
    <w:rsid w:val="0087607F"/>
    <w:rsid w:val="00890990"/>
    <w:rsid w:val="00892593"/>
    <w:rsid w:val="00893738"/>
    <w:rsid w:val="008A132E"/>
    <w:rsid w:val="008A6200"/>
    <w:rsid w:val="008A666E"/>
    <w:rsid w:val="008A7C92"/>
    <w:rsid w:val="008B2282"/>
    <w:rsid w:val="008B394C"/>
    <w:rsid w:val="008B736F"/>
    <w:rsid w:val="008C01AF"/>
    <w:rsid w:val="008D0A8A"/>
    <w:rsid w:val="008D1481"/>
    <w:rsid w:val="008D1571"/>
    <w:rsid w:val="008D3CAD"/>
    <w:rsid w:val="008D602A"/>
    <w:rsid w:val="008D64C9"/>
    <w:rsid w:val="008E433C"/>
    <w:rsid w:val="008F6985"/>
    <w:rsid w:val="00906AA4"/>
    <w:rsid w:val="00907249"/>
    <w:rsid w:val="00920E99"/>
    <w:rsid w:val="00921397"/>
    <w:rsid w:val="009250F2"/>
    <w:rsid w:val="00925A3E"/>
    <w:rsid w:val="0092774F"/>
    <w:rsid w:val="0093282C"/>
    <w:rsid w:val="00932D8F"/>
    <w:rsid w:val="009351BE"/>
    <w:rsid w:val="00937031"/>
    <w:rsid w:val="009375EE"/>
    <w:rsid w:val="0094264B"/>
    <w:rsid w:val="009511D3"/>
    <w:rsid w:val="00952968"/>
    <w:rsid w:val="00961780"/>
    <w:rsid w:val="009618A0"/>
    <w:rsid w:val="00976D79"/>
    <w:rsid w:val="00983253"/>
    <w:rsid w:val="0098440B"/>
    <w:rsid w:val="0099039F"/>
    <w:rsid w:val="00990932"/>
    <w:rsid w:val="00994F0D"/>
    <w:rsid w:val="009A2883"/>
    <w:rsid w:val="009B2F03"/>
    <w:rsid w:val="009B7C73"/>
    <w:rsid w:val="00A0721A"/>
    <w:rsid w:val="00A073A1"/>
    <w:rsid w:val="00A07687"/>
    <w:rsid w:val="00A11B8A"/>
    <w:rsid w:val="00A304BE"/>
    <w:rsid w:val="00A30728"/>
    <w:rsid w:val="00A34518"/>
    <w:rsid w:val="00A478EC"/>
    <w:rsid w:val="00A53ADE"/>
    <w:rsid w:val="00A56842"/>
    <w:rsid w:val="00A67B9C"/>
    <w:rsid w:val="00A70B4E"/>
    <w:rsid w:val="00A76FDB"/>
    <w:rsid w:val="00A86904"/>
    <w:rsid w:val="00A97744"/>
    <w:rsid w:val="00AA2D4A"/>
    <w:rsid w:val="00AA5942"/>
    <w:rsid w:val="00AA6788"/>
    <w:rsid w:val="00AB72FF"/>
    <w:rsid w:val="00AC3537"/>
    <w:rsid w:val="00AD1FFB"/>
    <w:rsid w:val="00AD7F3C"/>
    <w:rsid w:val="00AE0874"/>
    <w:rsid w:val="00AF6A93"/>
    <w:rsid w:val="00B0278D"/>
    <w:rsid w:val="00B11389"/>
    <w:rsid w:val="00B16974"/>
    <w:rsid w:val="00B24653"/>
    <w:rsid w:val="00B25EE8"/>
    <w:rsid w:val="00B3077D"/>
    <w:rsid w:val="00B4244F"/>
    <w:rsid w:val="00B42E0C"/>
    <w:rsid w:val="00B4731A"/>
    <w:rsid w:val="00B6096D"/>
    <w:rsid w:val="00B72ACC"/>
    <w:rsid w:val="00B90D55"/>
    <w:rsid w:val="00B9164D"/>
    <w:rsid w:val="00B92F3A"/>
    <w:rsid w:val="00BA7E8D"/>
    <w:rsid w:val="00BC34E5"/>
    <w:rsid w:val="00BC422F"/>
    <w:rsid w:val="00BD3A53"/>
    <w:rsid w:val="00BE1167"/>
    <w:rsid w:val="00BE288C"/>
    <w:rsid w:val="00BE624D"/>
    <w:rsid w:val="00BF4947"/>
    <w:rsid w:val="00BF760D"/>
    <w:rsid w:val="00C06DAB"/>
    <w:rsid w:val="00C078B0"/>
    <w:rsid w:val="00C11802"/>
    <w:rsid w:val="00C1184A"/>
    <w:rsid w:val="00C14792"/>
    <w:rsid w:val="00C202D4"/>
    <w:rsid w:val="00C25AAB"/>
    <w:rsid w:val="00C340FF"/>
    <w:rsid w:val="00C4039B"/>
    <w:rsid w:val="00C52EC2"/>
    <w:rsid w:val="00C538A7"/>
    <w:rsid w:val="00C55D48"/>
    <w:rsid w:val="00C62F73"/>
    <w:rsid w:val="00C64760"/>
    <w:rsid w:val="00C66EAA"/>
    <w:rsid w:val="00C752E9"/>
    <w:rsid w:val="00C76E1A"/>
    <w:rsid w:val="00C8560C"/>
    <w:rsid w:val="00C865A5"/>
    <w:rsid w:val="00C905AA"/>
    <w:rsid w:val="00CD4649"/>
    <w:rsid w:val="00CD47CB"/>
    <w:rsid w:val="00CD61CF"/>
    <w:rsid w:val="00CE30C1"/>
    <w:rsid w:val="00CE6673"/>
    <w:rsid w:val="00CF617B"/>
    <w:rsid w:val="00D0179E"/>
    <w:rsid w:val="00D027C9"/>
    <w:rsid w:val="00D10319"/>
    <w:rsid w:val="00D20992"/>
    <w:rsid w:val="00D232F6"/>
    <w:rsid w:val="00D2356C"/>
    <w:rsid w:val="00D3004F"/>
    <w:rsid w:val="00D322C3"/>
    <w:rsid w:val="00D34D84"/>
    <w:rsid w:val="00D40699"/>
    <w:rsid w:val="00D60093"/>
    <w:rsid w:val="00D72DE1"/>
    <w:rsid w:val="00D827AC"/>
    <w:rsid w:val="00D85C31"/>
    <w:rsid w:val="00D9402F"/>
    <w:rsid w:val="00DA41B9"/>
    <w:rsid w:val="00DB00FA"/>
    <w:rsid w:val="00DB29EE"/>
    <w:rsid w:val="00DB3208"/>
    <w:rsid w:val="00DB4475"/>
    <w:rsid w:val="00DC191F"/>
    <w:rsid w:val="00DD1079"/>
    <w:rsid w:val="00DD1191"/>
    <w:rsid w:val="00DD5A39"/>
    <w:rsid w:val="00DE0341"/>
    <w:rsid w:val="00DF4292"/>
    <w:rsid w:val="00E00D06"/>
    <w:rsid w:val="00E022C5"/>
    <w:rsid w:val="00E20DA4"/>
    <w:rsid w:val="00E27458"/>
    <w:rsid w:val="00E30022"/>
    <w:rsid w:val="00E3285B"/>
    <w:rsid w:val="00E3341F"/>
    <w:rsid w:val="00E51601"/>
    <w:rsid w:val="00E575FD"/>
    <w:rsid w:val="00E610F1"/>
    <w:rsid w:val="00E678E6"/>
    <w:rsid w:val="00E73AE1"/>
    <w:rsid w:val="00E82695"/>
    <w:rsid w:val="00E87124"/>
    <w:rsid w:val="00E921CF"/>
    <w:rsid w:val="00E9560E"/>
    <w:rsid w:val="00E967F7"/>
    <w:rsid w:val="00EA4EFE"/>
    <w:rsid w:val="00EB1F84"/>
    <w:rsid w:val="00EB4F00"/>
    <w:rsid w:val="00EC757D"/>
    <w:rsid w:val="00ED3319"/>
    <w:rsid w:val="00F06B90"/>
    <w:rsid w:val="00F1059B"/>
    <w:rsid w:val="00F11D70"/>
    <w:rsid w:val="00F215C8"/>
    <w:rsid w:val="00F27262"/>
    <w:rsid w:val="00F33FAE"/>
    <w:rsid w:val="00F36B42"/>
    <w:rsid w:val="00F460E2"/>
    <w:rsid w:val="00F519D3"/>
    <w:rsid w:val="00F7097F"/>
    <w:rsid w:val="00F80F46"/>
    <w:rsid w:val="00FA46B3"/>
    <w:rsid w:val="00FA50B7"/>
    <w:rsid w:val="00FB3A95"/>
    <w:rsid w:val="00FC1E82"/>
    <w:rsid w:val="00FC3C6D"/>
    <w:rsid w:val="00FC4682"/>
    <w:rsid w:val="00FC50E6"/>
    <w:rsid w:val="00FC606A"/>
    <w:rsid w:val="00FC67D2"/>
    <w:rsid w:val="00FC6963"/>
    <w:rsid w:val="00FD13E3"/>
    <w:rsid w:val="00FD2734"/>
    <w:rsid w:val="00FD53E9"/>
    <w:rsid w:val="00FE3B6F"/>
    <w:rsid w:val="00FF6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8B733F"/>
  <w15:chartTrackingRefBased/>
  <w15:docId w15:val="{12368D90-1F98-4D3D-A96B-3A857DD36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 Light" w:eastAsiaTheme="minorHAnsi" w:hAnsi="Calibri Light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5CBD"/>
    <w:pPr>
      <w:suppressAutoHyphens/>
      <w:spacing w:after="0" w:line="240" w:lineRule="auto"/>
    </w:pPr>
    <w:rPr>
      <w:rFonts w:ascii="Times New Roman" w:eastAsia="Times New Roman" w:hAnsi="Times New Roman" w:cs="Times New Roman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6D2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655CBD"/>
    <w:pPr>
      <w:keepNext/>
      <w:numPr>
        <w:numId w:val="1"/>
      </w:numPr>
      <w:outlineLvl w:val="2"/>
    </w:pPr>
    <w:rPr>
      <w:rFonts w:ascii="Comic Sans MS" w:hAnsi="Comic Sans MS"/>
      <w:b/>
      <w:bCs/>
      <w:sz w:val="18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655CBD"/>
    <w:rPr>
      <w:rFonts w:ascii="Comic Sans MS" w:eastAsia="Times New Roman" w:hAnsi="Comic Sans MS" w:cs="Times New Roman"/>
      <w:b/>
      <w:bCs/>
      <w:sz w:val="18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655CBD"/>
    <w:pPr>
      <w:tabs>
        <w:tab w:val="center" w:pos="4536"/>
        <w:tab w:val="right" w:pos="9072"/>
      </w:tabs>
      <w:suppressAutoHyphens w:val="0"/>
    </w:pPr>
    <w:rPr>
      <w:sz w:val="20"/>
      <w:szCs w:val="20"/>
      <w:lang w:val="x-none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55CBD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55CB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55C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5CBD"/>
    <w:rPr>
      <w:rFonts w:ascii="Times New Roman" w:eastAsia="Times New Roman" w:hAnsi="Times New Roman" w:cs="Times New Roman"/>
      <w:szCs w:val="24"/>
      <w:lang w:eastAsia="ar-SA"/>
    </w:rPr>
  </w:style>
  <w:style w:type="paragraph" w:customStyle="1" w:styleId="Style17">
    <w:name w:val="Style17"/>
    <w:basedOn w:val="Normalny"/>
    <w:rsid w:val="00426D22"/>
    <w:pPr>
      <w:widowControl w:val="0"/>
      <w:suppressAutoHyphens w:val="0"/>
      <w:autoSpaceDE w:val="0"/>
      <w:autoSpaceDN w:val="0"/>
      <w:adjustRightInd w:val="0"/>
      <w:spacing w:line="211" w:lineRule="exact"/>
    </w:pPr>
    <w:rPr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6D2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  <w:style w:type="paragraph" w:styleId="Bezodstpw">
    <w:name w:val="No Spacing"/>
    <w:uiPriority w:val="1"/>
    <w:qFormat/>
    <w:rsid w:val="00426D22"/>
    <w:pPr>
      <w:spacing w:after="0" w:line="240" w:lineRule="auto"/>
    </w:pPr>
    <w:rPr>
      <w:rFonts w:ascii="Garamond" w:eastAsia="Times New Roman" w:hAnsi="Garamond" w:cs="Times New Roman"/>
      <w:szCs w:val="20"/>
      <w:lang w:eastAsia="pl-PL"/>
    </w:rPr>
  </w:style>
  <w:style w:type="character" w:customStyle="1" w:styleId="FontStyle18">
    <w:name w:val="Font Style18"/>
    <w:rsid w:val="00426D22"/>
    <w:rPr>
      <w:rFonts w:ascii="Arial" w:hAnsi="Arial" w:cs="Arial" w:hint="default"/>
      <w:color w:val="000000"/>
      <w:sz w:val="18"/>
      <w:szCs w:val="18"/>
    </w:rPr>
  </w:style>
  <w:style w:type="character" w:customStyle="1" w:styleId="AkapitzlistZnak">
    <w:name w:val="Akapit z listą Znak"/>
    <w:link w:val="Akapitzlist"/>
    <w:uiPriority w:val="34"/>
    <w:rsid w:val="004E268D"/>
    <w:rPr>
      <w:rFonts w:ascii="Times New Roman" w:eastAsia="Times New Roman" w:hAnsi="Times New Roman" w:cs="Times New Roman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B3077D"/>
    <w:pPr>
      <w:suppressAutoHyphens w:val="0"/>
      <w:spacing w:before="100" w:beforeAutospacing="1" w:after="100" w:afterAutospacing="1"/>
    </w:pPr>
    <w:rPr>
      <w:lang w:eastAsia="pl-PL"/>
    </w:rPr>
  </w:style>
  <w:style w:type="table" w:styleId="Tabela-Siatka">
    <w:name w:val="Table Grid"/>
    <w:basedOn w:val="Standardowy"/>
    <w:uiPriority w:val="39"/>
    <w:rsid w:val="008D1481"/>
    <w:pPr>
      <w:spacing w:after="0" w:line="240" w:lineRule="auto"/>
    </w:pPr>
    <w:rPr>
      <w:rFonts w:asciiTheme="minorHAnsi" w:hAnsiTheme="minorHAnsi"/>
      <w:kern w:val="2"/>
      <w:sz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045694-A9FD-49D5-BC6B-55A4BBC346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7EDC13-C230-4D3B-B657-1699866FA984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3.xml><?xml version="1.0" encoding="utf-8"?>
<ds:datastoreItem xmlns:ds="http://schemas.openxmlformats.org/officeDocument/2006/customXml" ds:itemID="{D2D1C62C-CC1F-4AF6-909B-677C5AEDE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664</Words>
  <Characters>3988</Characters>
  <Application>Microsoft Office Word</Application>
  <DocSecurity>4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Noga</dc:creator>
  <cp:keywords/>
  <dc:description/>
  <cp:lastModifiedBy>Bartłomiej Noga</cp:lastModifiedBy>
  <cp:revision>2</cp:revision>
  <dcterms:created xsi:type="dcterms:W3CDTF">2026-05-04T13:05:00Z</dcterms:created>
  <dcterms:modified xsi:type="dcterms:W3CDTF">2026-05-04T13:05:00Z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</Properties>
</file>